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3F1CE76B" w:rsidR="00CE6E0D" w:rsidRPr="009F6173" w:rsidRDefault="00CE6E0D" w:rsidP="00CE6E0D">
      <w:pPr>
        <w:pStyle w:val="3GPPHeader"/>
        <w:spacing w:after="60"/>
        <w:rPr>
          <w:rFonts w:cs="Arial"/>
          <w:sz w:val="32"/>
          <w:szCs w:val="32"/>
          <w:highlight w:val="yellow"/>
          <w:lang w:val="en-US"/>
        </w:rPr>
      </w:pPr>
      <w:bookmarkStart w:id="0" w:name="_GoBack"/>
      <w:bookmarkEnd w:id="0"/>
      <w:r w:rsidRPr="009F6173">
        <w:rPr>
          <w:rFonts w:cs="Arial"/>
          <w:lang w:val="en-US"/>
        </w:rPr>
        <w:t>3GPP TSG-RAN WG1 Meeting #9</w:t>
      </w:r>
      <w:r w:rsidR="00CC6348">
        <w:rPr>
          <w:rFonts w:cs="Arial"/>
          <w:lang w:val="en-US"/>
        </w:rPr>
        <w:t>7</w:t>
      </w:r>
      <w:r w:rsidRPr="009F6173">
        <w:rPr>
          <w:rFonts w:cs="Arial"/>
          <w:lang w:val="en-US"/>
        </w:rPr>
        <w:tab/>
      </w:r>
      <w:r w:rsidRPr="009F6173">
        <w:rPr>
          <w:rFonts w:cs="Arial"/>
          <w:sz w:val="32"/>
          <w:szCs w:val="32"/>
          <w:lang w:val="en-US"/>
        </w:rPr>
        <w:t>R1-19</w:t>
      </w:r>
      <w:r w:rsidR="00C94D11" w:rsidRPr="00C94D11">
        <w:rPr>
          <w:rFonts w:cs="Arial"/>
          <w:sz w:val="32"/>
          <w:szCs w:val="32"/>
          <w:lang w:val="en-US"/>
        </w:rPr>
        <w:t>07145</w:t>
      </w:r>
    </w:p>
    <w:p w14:paraId="62AC86BE" w14:textId="06EB5652" w:rsidR="00CE6E0D" w:rsidRPr="009F6173" w:rsidRDefault="00CC6348" w:rsidP="00CE6E0D">
      <w:pPr>
        <w:pStyle w:val="3GPPHeader"/>
        <w:rPr>
          <w:rFonts w:cs="Arial"/>
          <w:lang w:val="en-US"/>
        </w:rPr>
      </w:pPr>
      <w:r>
        <w:rPr>
          <w:rFonts w:cs="Arial"/>
          <w:lang w:val="en-US"/>
        </w:rPr>
        <w:t>Reno</w:t>
      </w:r>
      <w:r w:rsidR="00CE6E0D" w:rsidRPr="009F6173">
        <w:rPr>
          <w:rFonts w:cs="Arial"/>
          <w:lang w:val="en-US"/>
        </w:rPr>
        <w:t xml:space="preserve">, </w:t>
      </w:r>
      <w:r>
        <w:rPr>
          <w:rFonts w:cs="Arial"/>
          <w:lang w:val="en-US"/>
        </w:rPr>
        <w:t>US</w:t>
      </w:r>
      <w:r w:rsidR="00CE6E0D" w:rsidRPr="009F6173">
        <w:rPr>
          <w:rFonts w:cs="Arial"/>
          <w:lang w:val="en-US"/>
        </w:rPr>
        <w:t xml:space="preserve">, </w:t>
      </w:r>
      <w:r>
        <w:rPr>
          <w:rFonts w:cs="Arial"/>
          <w:lang w:val="en-US"/>
        </w:rPr>
        <w:t>May</w:t>
      </w:r>
      <w:r w:rsidR="00CE6E0D" w:rsidRPr="009F6173">
        <w:rPr>
          <w:rFonts w:cs="Arial"/>
          <w:lang w:val="en-US"/>
        </w:rPr>
        <w:t xml:space="preserve"> </w:t>
      </w:r>
      <w:r w:rsidR="00503251">
        <w:rPr>
          <w:rFonts w:cs="Arial"/>
          <w:lang w:val="en-US"/>
        </w:rPr>
        <w:t>13</w:t>
      </w:r>
      <w:r w:rsidR="00CE6E0D" w:rsidRPr="009F6173">
        <w:rPr>
          <w:rFonts w:cs="Arial"/>
          <w:vertAlign w:val="superscript"/>
          <w:lang w:val="en-US"/>
        </w:rPr>
        <w:t>th</w:t>
      </w:r>
      <w:r w:rsidR="00CE6E0D" w:rsidRPr="009F6173">
        <w:rPr>
          <w:rFonts w:cs="Arial"/>
          <w:lang w:val="en-US"/>
        </w:rPr>
        <w:t xml:space="preserve"> – 1</w:t>
      </w:r>
      <w:r w:rsidR="00503251">
        <w:rPr>
          <w:rFonts w:cs="Arial"/>
          <w:lang w:val="en-US"/>
        </w:rPr>
        <w:t>7</w:t>
      </w:r>
      <w:r w:rsidR="00CE6E0D" w:rsidRPr="009F6173">
        <w:rPr>
          <w:rFonts w:cs="Arial"/>
          <w:vertAlign w:val="superscript"/>
          <w:lang w:val="en-US"/>
        </w:rPr>
        <w:t>t</w:t>
      </w:r>
      <w:r w:rsidR="00CE6E0D">
        <w:rPr>
          <w:rFonts w:cs="Arial"/>
          <w:vertAlign w:val="superscript"/>
          <w:lang w:val="en-US"/>
        </w:rPr>
        <w:t>h</w:t>
      </w:r>
      <w:r w:rsidR="00CE6E0D" w:rsidRPr="009F6173">
        <w:rPr>
          <w:rFonts w:cs="Arial"/>
          <w:lang w:val="en-US"/>
        </w:rPr>
        <w:t xml:space="preserve"> 2019</w:t>
      </w:r>
    </w:p>
    <w:p w14:paraId="0FBA01D8" w14:textId="77777777" w:rsidR="00CE6E0D" w:rsidRPr="009F6173" w:rsidRDefault="00CE6E0D" w:rsidP="00CE6E0D">
      <w:pPr>
        <w:pStyle w:val="3GPPHeader"/>
        <w:rPr>
          <w:rFonts w:cs="Arial"/>
          <w:lang w:val="en-US"/>
        </w:rPr>
      </w:pPr>
    </w:p>
    <w:p w14:paraId="0ED25777" w14:textId="20E450DF" w:rsidR="002820B0" w:rsidRPr="00C94D11" w:rsidRDefault="002820B0" w:rsidP="002820B0">
      <w:pPr>
        <w:pStyle w:val="3GPPHeader"/>
        <w:rPr>
          <w:sz w:val="22"/>
          <w:szCs w:val="22"/>
          <w:lang w:val="en-US"/>
        </w:rPr>
      </w:pPr>
      <w:r w:rsidRPr="00C94D11">
        <w:rPr>
          <w:sz w:val="22"/>
          <w:szCs w:val="22"/>
          <w:lang w:val="en-US"/>
        </w:rPr>
        <w:t>Agenda Item:</w:t>
      </w:r>
      <w:r w:rsidRPr="00C94D11">
        <w:rPr>
          <w:sz w:val="22"/>
          <w:szCs w:val="22"/>
          <w:lang w:val="en-US"/>
        </w:rPr>
        <w:tab/>
      </w:r>
      <w:r w:rsidR="00EC5D2F" w:rsidRPr="00C94D11">
        <w:rPr>
          <w:sz w:val="22"/>
          <w:szCs w:val="22"/>
          <w:lang w:val="en-US"/>
        </w:rPr>
        <w:t>7.2.4.7</w:t>
      </w:r>
    </w:p>
    <w:p w14:paraId="36723816" w14:textId="77777777" w:rsidR="002820B0" w:rsidRPr="00CE0424" w:rsidRDefault="002820B0" w:rsidP="002820B0">
      <w:pPr>
        <w:pStyle w:val="3GPPHeader"/>
        <w:rPr>
          <w:sz w:val="22"/>
          <w:szCs w:val="22"/>
        </w:rPr>
      </w:pPr>
      <w:r>
        <w:rPr>
          <w:sz w:val="22"/>
          <w:szCs w:val="22"/>
        </w:rPr>
        <w:t>Source:</w:t>
      </w:r>
      <w:r w:rsidRPr="00CE0424">
        <w:rPr>
          <w:sz w:val="22"/>
          <w:szCs w:val="22"/>
        </w:rPr>
        <w:tab/>
        <w:t>Ericsson</w:t>
      </w:r>
    </w:p>
    <w:p w14:paraId="56DE853F" w14:textId="6E6115A8" w:rsidR="002820B0" w:rsidRPr="00D56589" w:rsidRDefault="002820B0" w:rsidP="002820B0">
      <w:pPr>
        <w:pStyle w:val="3GPPHeader"/>
        <w:rPr>
          <w:sz w:val="22"/>
          <w:szCs w:val="22"/>
        </w:rPr>
      </w:pPr>
      <w:r>
        <w:rPr>
          <w:sz w:val="22"/>
          <w:szCs w:val="22"/>
        </w:rPr>
        <w:t>Title:</w:t>
      </w:r>
      <w:r w:rsidRPr="00CE0424">
        <w:rPr>
          <w:sz w:val="22"/>
          <w:szCs w:val="22"/>
        </w:rPr>
        <w:tab/>
      </w:r>
      <w:r w:rsidR="00791B2D" w:rsidRPr="00D56589">
        <w:rPr>
          <w:sz w:val="22"/>
          <w:szCs w:val="22"/>
        </w:rPr>
        <w:t>NR Uu controlling LTE sidelink transmissions</w:t>
      </w:r>
    </w:p>
    <w:p w14:paraId="31AAB940" w14:textId="77777777" w:rsidR="002820B0" w:rsidRPr="00CE0424" w:rsidRDefault="002820B0" w:rsidP="002820B0">
      <w:pPr>
        <w:pStyle w:val="3GPPHeader"/>
        <w:rPr>
          <w:sz w:val="22"/>
          <w:szCs w:val="22"/>
        </w:rPr>
      </w:pPr>
      <w:r w:rsidRPr="00D56589">
        <w:rPr>
          <w:sz w:val="22"/>
          <w:szCs w:val="22"/>
        </w:rPr>
        <w:t>Document for:</w:t>
      </w:r>
      <w:r w:rsidRPr="00D56589">
        <w:rPr>
          <w:sz w:val="22"/>
          <w:szCs w:val="22"/>
        </w:rPr>
        <w:tab/>
        <w:t>Discussion, Decision</w:t>
      </w:r>
    </w:p>
    <w:p w14:paraId="7D918D49" w14:textId="77777777" w:rsidR="002820B0" w:rsidRPr="00CE0424" w:rsidRDefault="002820B0" w:rsidP="002820B0"/>
    <w:p w14:paraId="52178883" w14:textId="77777777" w:rsidR="00464FF9" w:rsidRPr="00CE0424" w:rsidRDefault="00464FF9" w:rsidP="00464FF9">
      <w:pPr>
        <w:pStyle w:val="Heading1"/>
      </w:pPr>
      <w:r>
        <w:t>1</w:t>
      </w:r>
      <w:r>
        <w:tab/>
      </w:r>
      <w:r w:rsidRPr="00CE0424">
        <w:t>Introduction</w:t>
      </w:r>
    </w:p>
    <w:p w14:paraId="6BDCD890" w14:textId="77777777" w:rsidR="00464FF9" w:rsidRPr="000C728E" w:rsidRDefault="00464FF9" w:rsidP="00464FF9">
      <w:pPr>
        <w:rPr>
          <w:rFonts w:ascii="Arial" w:hAnsi="Arial" w:cs="Arial"/>
        </w:rPr>
      </w:pPr>
      <w:r w:rsidRPr="000C728E">
        <w:rPr>
          <w:rFonts w:ascii="Arial" w:hAnsi="Arial" w:cs="Arial"/>
        </w:rPr>
        <w:t>The NR V2X WID includes the following objective</w:t>
      </w:r>
      <w:r>
        <w:rPr>
          <w:rFonts w:ascii="Arial" w:hAnsi="Arial" w:cs="Arial"/>
        </w:rPr>
        <w:t xml:space="preserve"> </w:t>
      </w:r>
      <w:r>
        <w:rPr>
          <w:rFonts w:ascii="Arial" w:hAnsi="Arial" w:cs="Arial"/>
        </w:rPr>
        <w:fldChar w:fldCharType="begin"/>
      </w:r>
      <w:r>
        <w:rPr>
          <w:rFonts w:ascii="Arial" w:hAnsi="Arial" w:cs="Arial"/>
        </w:rPr>
        <w:instrText xml:space="preserve"> REF _Ref4595486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sidRPr="000C728E">
        <w:rPr>
          <w:rFonts w:ascii="Arial" w:hAnsi="Arial" w:cs="Arial"/>
        </w:rPr>
        <w:t>:</w:t>
      </w:r>
    </w:p>
    <w:tbl>
      <w:tblPr>
        <w:tblStyle w:val="TableGrid"/>
        <w:tblW w:w="0" w:type="auto"/>
        <w:tblLook w:val="04A0" w:firstRow="1" w:lastRow="0" w:firstColumn="1" w:lastColumn="0" w:noHBand="0" w:noVBand="1"/>
      </w:tblPr>
      <w:tblGrid>
        <w:gridCol w:w="9629"/>
      </w:tblGrid>
      <w:tr w:rsidR="00464FF9" w14:paraId="7403B49B" w14:textId="77777777" w:rsidTr="00EE7B62">
        <w:tc>
          <w:tcPr>
            <w:tcW w:w="9629" w:type="dxa"/>
          </w:tcPr>
          <w:p w14:paraId="126CF763" w14:textId="77777777" w:rsidR="00464FF9" w:rsidRDefault="00464FF9" w:rsidP="00EE7B62">
            <w:pPr>
              <w:spacing w:before="240"/>
              <w:jc w:val="both"/>
              <w:rPr>
                <w:lang w:eastAsia="ko-KR"/>
              </w:rPr>
            </w:pPr>
            <w:r>
              <w:rPr>
                <w:lang w:eastAsia="ko-KR"/>
              </w:rPr>
              <w:t xml:space="preserve">2. Specify support for NR Uu to provide control for LTE sidelink </w:t>
            </w:r>
          </w:p>
          <w:p w14:paraId="795B5A2B" w14:textId="77777777" w:rsidR="00464FF9" w:rsidRDefault="00464FF9" w:rsidP="00464FF9">
            <w:pPr>
              <w:numPr>
                <w:ilvl w:val="0"/>
                <w:numId w:val="34"/>
              </w:numPr>
              <w:jc w:val="both"/>
              <w:textAlignment w:val="auto"/>
              <w:rPr>
                <w:lang w:val="en-US" w:eastAsia="ko-KR"/>
              </w:rPr>
            </w:pPr>
            <w:r>
              <w:rPr>
                <w:lang w:val="en-US" w:eastAsia="ko-KR"/>
              </w:rPr>
              <w:t>Sidelink mode 4 as per the study outcome [RAN2, RAN1]; and</w:t>
            </w:r>
          </w:p>
          <w:p w14:paraId="409F0F38" w14:textId="77777777" w:rsidR="00464FF9" w:rsidRDefault="00464FF9" w:rsidP="00464FF9">
            <w:pPr>
              <w:numPr>
                <w:ilvl w:val="0"/>
                <w:numId w:val="34"/>
              </w:numPr>
              <w:ind w:left="709" w:hanging="309"/>
              <w:jc w:val="both"/>
              <w:textAlignment w:val="auto"/>
              <w:rPr>
                <w:lang w:val="en-US" w:eastAsia="ko-KR"/>
              </w:rPr>
            </w:pPr>
            <w:r>
              <w:rPr>
                <w:lang w:val="en-US" w:eastAsia="ko-KR"/>
              </w:rPr>
              <w:t>Sidelink mode 3-like RRC-configured SPS scheduling with either RRC-based activation/deactivation as per the study outcome or DCI-based activation/deactivation [RAN1, RAN2].</w:t>
            </w:r>
          </w:p>
          <w:p w14:paraId="3117AAE4" w14:textId="77777777" w:rsidR="00464FF9" w:rsidRPr="000C728E" w:rsidRDefault="00464FF9" w:rsidP="00464FF9">
            <w:pPr>
              <w:pStyle w:val="ListParagraph"/>
              <w:numPr>
                <w:ilvl w:val="1"/>
                <w:numId w:val="34"/>
              </w:numPr>
              <w:wordWrap w:val="0"/>
              <w:spacing w:after="180"/>
              <w:contextualSpacing/>
              <w:jc w:val="both"/>
              <w:textAlignment w:val="auto"/>
              <w:rPr>
                <w:lang w:val="en-US"/>
              </w:rPr>
            </w:pPr>
            <w:r>
              <w:rPr>
                <w:lang w:val="en-US" w:eastAsia="ko-KR"/>
              </w:rPr>
              <w:t xml:space="preserve">RAN1 to </w:t>
            </w:r>
            <w:proofErr w:type="gramStart"/>
            <w:r>
              <w:rPr>
                <w:lang w:val="en-US" w:eastAsia="ko-KR"/>
              </w:rPr>
              <w:t>make a decision</w:t>
            </w:r>
            <w:proofErr w:type="gramEnd"/>
            <w:r>
              <w:rPr>
                <w:lang w:val="en-US" w:eastAsia="ko-KR"/>
              </w:rPr>
              <w:t xml:space="preserve"> on which option is supported until RAN#84.</w:t>
            </w:r>
          </w:p>
        </w:tc>
      </w:tr>
    </w:tbl>
    <w:p w14:paraId="4D349EF6" w14:textId="77777777" w:rsidR="00464FF9" w:rsidRPr="000C26D3" w:rsidRDefault="00464FF9" w:rsidP="00464FF9">
      <w:pPr>
        <w:spacing w:before="240"/>
        <w:rPr>
          <w:rFonts w:ascii="Arial" w:hAnsi="Arial" w:cs="Arial"/>
        </w:rPr>
      </w:pPr>
      <w:r w:rsidRPr="000C26D3">
        <w:rPr>
          <w:rFonts w:ascii="Arial" w:hAnsi="Arial" w:cs="Arial"/>
        </w:rPr>
        <w:t>On Mode 3, the following was agreed during RAN1#96:</w:t>
      </w:r>
    </w:p>
    <w:tbl>
      <w:tblPr>
        <w:tblStyle w:val="TableGrid"/>
        <w:tblW w:w="0" w:type="auto"/>
        <w:tblLook w:val="04A0" w:firstRow="1" w:lastRow="0" w:firstColumn="1" w:lastColumn="0" w:noHBand="0" w:noVBand="1"/>
      </w:tblPr>
      <w:tblGrid>
        <w:gridCol w:w="9629"/>
      </w:tblGrid>
      <w:tr w:rsidR="00464FF9" w:rsidRPr="00E322CB" w14:paraId="4B868A14" w14:textId="77777777" w:rsidTr="00EE7B62">
        <w:trPr>
          <w:trHeight w:val="50"/>
        </w:trPr>
        <w:tc>
          <w:tcPr>
            <w:tcW w:w="9629" w:type="dxa"/>
          </w:tcPr>
          <w:p w14:paraId="76C3188F" w14:textId="77777777" w:rsidR="00464FF9" w:rsidRPr="009A5309" w:rsidRDefault="00464FF9" w:rsidP="00EE7B62">
            <w:pPr>
              <w:rPr>
                <w:sz w:val="20"/>
                <w:lang w:eastAsia="x-none"/>
              </w:rPr>
            </w:pPr>
            <w:r w:rsidRPr="009A5309">
              <w:rPr>
                <w:sz w:val="20"/>
                <w:highlight w:val="green"/>
                <w:lang w:eastAsia="x-none"/>
              </w:rPr>
              <w:t>Agreements</w:t>
            </w:r>
            <w:r w:rsidRPr="009A5309">
              <w:rPr>
                <w:sz w:val="20"/>
                <w:lang w:eastAsia="x-none"/>
              </w:rPr>
              <w:t>:</w:t>
            </w:r>
          </w:p>
          <w:p w14:paraId="359213F2" w14:textId="77777777" w:rsidR="00464FF9" w:rsidRPr="009A5309" w:rsidRDefault="00464FF9" w:rsidP="00464FF9">
            <w:pPr>
              <w:pStyle w:val="ListParagraph"/>
              <w:numPr>
                <w:ilvl w:val="0"/>
                <w:numId w:val="32"/>
              </w:numPr>
              <w:overflowPunct/>
              <w:autoSpaceDE/>
              <w:autoSpaceDN/>
              <w:adjustRightInd/>
              <w:spacing w:after="160" w:line="259" w:lineRule="auto"/>
              <w:contextualSpacing/>
              <w:textAlignment w:val="auto"/>
              <w:rPr>
                <w:sz w:val="20"/>
              </w:rPr>
            </w:pPr>
            <w:r w:rsidRPr="009A5309">
              <w:rPr>
                <w:sz w:val="20"/>
              </w:rPr>
              <w:t>Scheduling by gNB using RRC for LTE sidelink scheduled mode is supported from RAN1 perspective under the premise that there is sufficient time for coordination between the NR and LTE modules. No DCI to activate/release</w:t>
            </w:r>
          </w:p>
          <w:p w14:paraId="4013F744" w14:textId="77777777" w:rsidR="00464FF9" w:rsidRPr="009A5309" w:rsidRDefault="00464FF9" w:rsidP="00464FF9">
            <w:pPr>
              <w:pStyle w:val="ListParagraph"/>
              <w:numPr>
                <w:ilvl w:val="1"/>
                <w:numId w:val="32"/>
              </w:numPr>
              <w:overflowPunct/>
              <w:autoSpaceDE/>
              <w:autoSpaceDN/>
              <w:adjustRightInd/>
              <w:spacing w:after="160" w:line="259" w:lineRule="auto"/>
              <w:contextualSpacing/>
              <w:textAlignment w:val="auto"/>
              <w:rPr>
                <w:sz w:val="20"/>
              </w:rPr>
            </w:pPr>
            <w:r w:rsidRPr="009A5309">
              <w:rPr>
                <w:sz w:val="20"/>
              </w:rPr>
              <w:t xml:space="preserve">RRC message delivers the SPS grant configuration and releases the SPS configuration. </w:t>
            </w:r>
          </w:p>
          <w:p w14:paraId="5901C910" w14:textId="77777777" w:rsidR="00464FF9" w:rsidRPr="009A5309" w:rsidRDefault="00464FF9" w:rsidP="00464FF9">
            <w:pPr>
              <w:pStyle w:val="ListParagraph"/>
              <w:numPr>
                <w:ilvl w:val="1"/>
                <w:numId w:val="32"/>
              </w:numPr>
              <w:overflowPunct/>
              <w:autoSpaceDE/>
              <w:autoSpaceDN/>
              <w:adjustRightInd/>
              <w:spacing w:after="160" w:line="259" w:lineRule="auto"/>
              <w:contextualSpacing/>
              <w:textAlignment w:val="auto"/>
              <w:rPr>
                <w:sz w:val="20"/>
              </w:rPr>
            </w:pPr>
            <w:r w:rsidRPr="009A5309">
              <w:rPr>
                <w:sz w:val="20"/>
              </w:rPr>
              <w:t>Support of this scheduling mode is subject to UE capability (may or may not have capability for both LTE &amp; NR)</w:t>
            </w:r>
          </w:p>
          <w:p w14:paraId="348B5117" w14:textId="77777777" w:rsidR="00464FF9" w:rsidRPr="009A5309" w:rsidRDefault="00464FF9" w:rsidP="00464FF9">
            <w:pPr>
              <w:pStyle w:val="ListParagraph"/>
              <w:numPr>
                <w:ilvl w:val="1"/>
                <w:numId w:val="32"/>
              </w:numPr>
              <w:overflowPunct/>
              <w:autoSpaceDE/>
              <w:autoSpaceDN/>
              <w:adjustRightInd/>
              <w:spacing w:after="160" w:line="259" w:lineRule="auto"/>
              <w:contextualSpacing/>
              <w:textAlignment w:val="auto"/>
              <w:rPr>
                <w:sz w:val="20"/>
              </w:rPr>
            </w:pPr>
            <w:r w:rsidRPr="009A5309">
              <w:rPr>
                <w:sz w:val="20"/>
              </w:rPr>
              <w:t>Note: some specification LTE change is needed to support the reception of a grant through RRC</w:t>
            </w:r>
          </w:p>
          <w:p w14:paraId="5FB2B6DF" w14:textId="77777777" w:rsidR="00464FF9" w:rsidRPr="009A5309" w:rsidRDefault="00464FF9" w:rsidP="00464FF9">
            <w:pPr>
              <w:pStyle w:val="ListParagraph"/>
              <w:numPr>
                <w:ilvl w:val="2"/>
                <w:numId w:val="32"/>
              </w:numPr>
              <w:overflowPunct/>
              <w:autoSpaceDE/>
              <w:autoSpaceDN/>
              <w:adjustRightInd/>
              <w:spacing w:after="160" w:line="259" w:lineRule="auto"/>
              <w:contextualSpacing/>
              <w:textAlignment w:val="auto"/>
              <w:rPr>
                <w:sz w:val="20"/>
              </w:rPr>
            </w:pPr>
            <w:r w:rsidRPr="009A5309">
              <w:rPr>
                <w:sz w:val="20"/>
              </w:rPr>
              <w:t>RRC message contains mode 3 grant content and timing</w:t>
            </w:r>
          </w:p>
          <w:p w14:paraId="661E68D8" w14:textId="77777777" w:rsidR="00464FF9" w:rsidRPr="009A5309" w:rsidRDefault="00464FF9" w:rsidP="00464FF9">
            <w:pPr>
              <w:pStyle w:val="ListParagraph"/>
              <w:numPr>
                <w:ilvl w:val="2"/>
                <w:numId w:val="32"/>
              </w:numPr>
              <w:overflowPunct/>
              <w:autoSpaceDE/>
              <w:autoSpaceDN/>
              <w:adjustRightInd/>
              <w:spacing w:after="160" w:line="259" w:lineRule="auto"/>
              <w:contextualSpacing/>
              <w:textAlignment w:val="auto"/>
              <w:rPr>
                <w:sz w:val="20"/>
              </w:rPr>
            </w:pPr>
            <w:r w:rsidRPr="009A5309">
              <w:rPr>
                <w:sz w:val="20"/>
              </w:rPr>
              <w:t>Up to the Editor to capture it as mode 3 or new LTE sidelink mode</w:t>
            </w:r>
          </w:p>
          <w:p w14:paraId="37A90C86" w14:textId="77777777" w:rsidR="00464FF9" w:rsidRPr="009A5309" w:rsidRDefault="00464FF9" w:rsidP="00464FF9">
            <w:pPr>
              <w:pStyle w:val="ListParagraph"/>
              <w:numPr>
                <w:ilvl w:val="1"/>
                <w:numId w:val="32"/>
              </w:numPr>
              <w:overflowPunct/>
              <w:autoSpaceDE/>
              <w:autoSpaceDN/>
              <w:adjustRightInd/>
              <w:spacing w:after="160" w:line="259" w:lineRule="auto"/>
              <w:contextualSpacing/>
              <w:textAlignment w:val="auto"/>
              <w:rPr>
                <w:sz w:val="20"/>
              </w:rPr>
            </w:pPr>
            <w:r w:rsidRPr="009A5309">
              <w:rPr>
                <w:sz w:val="20"/>
              </w:rPr>
              <w:t>No intention to have additional NR &amp; LTE specification change (other than those described above) for this function in Rel-16</w:t>
            </w:r>
          </w:p>
          <w:p w14:paraId="6B52334A" w14:textId="77777777" w:rsidR="00464FF9" w:rsidRPr="009A5309" w:rsidRDefault="00464FF9" w:rsidP="00464FF9">
            <w:pPr>
              <w:pStyle w:val="ListParagraph"/>
              <w:numPr>
                <w:ilvl w:val="0"/>
                <w:numId w:val="32"/>
              </w:numPr>
              <w:overflowPunct/>
              <w:autoSpaceDE/>
              <w:autoSpaceDN/>
              <w:adjustRightInd/>
              <w:spacing w:after="160" w:line="259" w:lineRule="auto"/>
              <w:contextualSpacing/>
              <w:textAlignment w:val="auto"/>
            </w:pPr>
            <w:r w:rsidRPr="009A5309">
              <w:rPr>
                <w:sz w:val="20"/>
              </w:rPr>
              <w:t>RAN1 studied the feasibility of SPS scheduling by gNB for LTE sidelink with DCI activation/release, but there is no consensus to support it</w:t>
            </w:r>
          </w:p>
        </w:tc>
      </w:tr>
    </w:tbl>
    <w:p w14:paraId="036C0633" w14:textId="77777777" w:rsidR="00464FF9" w:rsidRPr="000C26D3" w:rsidRDefault="00464FF9" w:rsidP="00464FF9">
      <w:pPr>
        <w:spacing w:before="240"/>
        <w:rPr>
          <w:rFonts w:ascii="Arial" w:hAnsi="Arial" w:cs="Arial"/>
        </w:rPr>
      </w:pPr>
      <w:r w:rsidRPr="000C26D3">
        <w:rPr>
          <w:rFonts w:ascii="Arial" w:hAnsi="Arial" w:cs="Arial"/>
        </w:rPr>
        <w:t>On Mode 4, the following was agreed during RAN1#AH-0119</w:t>
      </w:r>
    </w:p>
    <w:tbl>
      <w:tblPr>
        <w:tblStyle w:val="TableGrid"/>
        <w:tblW w:w="0" w:type="auto"/>
        <w:tblLook w:val="04A0" w:firstRow="1" w:lastRow="0" w:firstColumn="1" w:lastColumn="0" w:noHBand="0" w:noVBand="1"/>
      </w:tblPr>
      <w:tblGrid>
        <w:gridCol w:w="9629"/>
      </w:tblGrid>
      <w:tr w:rsidR="00464FF9" w14:paraId="5E6A94BE" w14:textId="77777777" w:rsidTr="00EE7B62">
        <w:tc>
          <w:tcPr>
            <w:tcW w:w="9629" w:type="dxa"/>
          </w:tcPr>
          <w:p w14:paraId="62367957" w14:textId="77777777" w:rsidR="00464FF9" w:rsidRPr="000C728E" w:rsidRDefault="00464FF9" w:rsidP="00EE7B62">
            <w:pPr>
              <w:spacing w:before="240"/>
              <w:rPr>
                <w:rFonts w:ascii="Times" w:hAnsi="Times" w:cs="Times"/>
                <w:sz w:val="20"/>
                <w:szCs w:val="20"/>
                <w:lang w:eastAsia="x-none"/>
              </w:rPr>
            </w:pPr>
            <w:r w:rsidRPr="000C728E">
              <w:rPr>
                <w:rFonts w:ascii="Times" w:hAnsi="Times" w:cs="Times"/>
                <w:sz w:val="20"/>
                <w:szCs w:val="20"/>
                <w:highlight w:val="green"/>
                <w:lang w:eastAsia="x-none"/>
              </w:rPr>
              <w:t>Agreements</w:t>
            </w:r>
            <w:r w:rsidRPr="000C728E">
              <w:rPr>
                <w:rFonts w:ascii="Times" w:hAnsi="Times" w:cs="Times"/>
                <w:sz w:val="20"/>
                <w:szCs w:val="20"/>
                <w:lang w:eastAsia="x-none"/>
              </w:rPr>
              <w:t>:</w:t>
            </w:r>
          </w:p>
          <w:p w14:paraId="5ED9DBE4" w14:textId="77777777" w:rsidR="00464FF9" w:rsidRPr="000C728E" w:rsidRDefault="00464FF9" w:rsidP="00EE7B62">
            <w:pPr>
              <w:pStyle w:val="bullet1"/>
              <w:numPr>
                <w:ilvl w:val="0"/>
                <w:numId w:val="33"/>
              </w:numPr>
              <w:rPr>
                <w:rFonts w:cs="Times"/>
                <w:sz w:val="20"/>
                <w:szCs w:val="20"/>
              </w:rPr>
            </w:pPr>
            <w:r w:rsidRPr="000C728E">
              <w:rPr>
                <w:rFonts w:cs="Times"/>
                <w:sz w:val="20"/>
                <w:szCs w:val="20"/>
              </w:rPr>
              <w:t>It is supported that NR Uu provides necessary semi-static configuration for mode-4 LTE SL communications</w:t>
            </w:r>
          </w:p>
          <w:p w14:paraId="66D59923" w14:textId="77777777" w:rsidR="00464FF9" w:rsidRPr="000C728E" w:rsidRDefault="00464FF9" w:rsidP="00EE7B62">
            <w:pPr>
              <w:pStyle w:val="bullet2"/>
              <w:numPr>
                <w:ilvl w:val="1"/>
                <w:numId w:val="33"/>
              </w:numPr>
              <w:rPr>
                <w:rFonts w:cs="Times"/>
                <w:sz w:val="20"/>
                <w:szCs w:val="20"/>
              </w:rPr>
            </w:pPr>
            <w:r w:rsidRPr="000C728E">
              <w:rPr>
                <w:rFonts w:cs="Times"/>
                <w:sz w:val="20"/>
                <w:szCs w:val="20"/>
              </w:rPr>
              <w:lastRenderedPageBreak/>
              <w:t>From RAN1 perspective, signalling should be similar to LTE in terms of UE-specific or cell-specific</w:t>
            </w:r>
          </w:p>
          <w:p w14:paraId="2B60AF5B" w14:textId="77777777" w:rsidR="00464FF9" w:rsidRPr="000C728E" w:rsidRDefault="00464FF9" w:rsidP="00EE7B62">
            <w:pPr>
              <w:pStyle w:val="bullet2"/>
              <w:numPr>
                <w:ilvl w:val="1"/>
                <w:numId w:val="33"/>
              </w:numPr>
              <w:rPr>
                <w:rFonts w:cs="Times"/>
                <w:sz w:val="20"/>
                <w:szCs w:val="20"/>
              </w:rPr>
            </w:pPr>
            <w:r w:rsidRPr="000C728E">
              <w:rPr>
                <w:rFonts w:cs="Times"/>
                <w:sz w:val="20"/>
                <w:szCs w:val="20"/>
              </w:rPr>
              <w:t>Signalling details up to RAN2</w:t>
            </w:r>
          </w:p>
          <w:p w14:paraId="3733EF28" w14:textId="77777777" w:rsidR="00464FF9" w:rsidRPr="000C728E" w:rsidRDefault="00464FF9" w:rsidP="00EE7B62">
            <w:pPr>
              <w:pStyle w:val="bullet1"/>
              <w:numPr>
                <w:ilvl w:val="0"/>
                <w:numId w:val="33"/>
              </w:numPr>
              <w:spacing w:after="240"/>
              <w:rPr>
                <w:sz w:val="26"/>
                <w:szCs w:val="26"/>
              </w:rPr>
            </w:pPr>
            <w:r w:rsidRPr="000C728E">
              <w:rPr>
                <w:rFonts w:cs="Times"/>
                <w:sz w:val="20"/>
                <w:szCs w:val="20"/>
              </w:rPr>
              <w:t>Further study feasibility, benefits (others than ones already identified for LTE) and impact of NR Uu managing LTE mode-3 SL communications.</w:t>
            </w:r>
            <w:r w:rsidRPr="00A34732">
              <w:rPr>
                <w:sz w:val="26"/>
                <w:szCs w:val="26"/>
              </w:rPr>
              <w:t xml:space="preserve"> </w:t>
            </w:r>
          </w:p>
        </w:tc>
      </w:tr>
    </w:tbl>
    <w:p w14:paraId="6B3B29B7" w14:textId="60344406" w:rsidR="006E1C99" w:rsidRDefault="006E1C99" w:rsidP="00464FF9">
      <w:pPr>
        <w:spacing w:before="240"/>
        <w:rPr>
          <w:rFonts w:ascii="Arial" w:hAnsi="Arial" w:cs="Arial"/>
        </w:rPr>
      </w:pPr>
      <w:r>
        <w:rPr>
          <w:rFonts w:ascii="Arial" w:hAnsi="Arial" w:cs="Arial"/>
        </w:rPr>
        <w:lastRenderedPageBreak/>
        <w:t>D</w:t>
      </w:r>
      <w:r w:rsidRPr="000C26D3">
        <w:rPr>
          <w:rFonts w:ascii="Arial" w:hAnsi="Arial" w:cs="Arial"/>
        </w:rPr>
        <w:t>uring RAN1#96</w:t>
      </w:r>
      <w:r>
        <w:rPr>
          <w:rFonts w:ascii="Arial" w:hAnsi="Arial" w:cs="Arial"/>
        </w:rPr>
        <w:t>bis the following has been agreed:</w:t>
      </w:r>
    </w:p>
    <w:tbl>
      <w:tblPr>
        <w:tblStyle w:val="TableGrid"/>
        <w:tblW w:w="0" w:type="auto"/>
        <w:tblLook w:val="04A0" w:firstRow="1" w:lastRow="0" w:firstColumn="1" w:lastColumn="0" w:noHBand="0" w:noVBand="1"/>
      </w:tblPr>
      <w:tblGrid>
        <w:gridCol w:w="9629"/>
      </w:tblGrid>
      <w:tr w:rsidR="006E1C99" w14:paraId="340C843A" w14:textId="77777777" w:rsidTr="00EE7B62">
        <w:tc>
          <w:tcPr>
            <w:tcW w:w="9629" w:type="dxa"/>
          </w:tcPr>
          <w:p w14:paraId="6258CE2C" w14:textId="77777777" w:rsidR="006E1C99" w:rsidRPr="006E1C99" w:rsidRDefault="006E1C99" w:rsidP="006E1C99">
            <w:pPr>
              <w:spacing w:after="0"/>
              <w:rPr>
                <w:rFonts w:ascii="Times" w:hAnsi="Times" w:cs="Times"/>
                <w:b/>
                <w:sz w:val="20"/>
              </w:rPr>
            </w:pPr>
            <w:bookmarkStart w:id="1" w:name="_Hlk6401680"/>
            <w:r w:rsidRPr="006E1C99">
              <w:rPr>
                <w:rFonts w:ascii="Times" w:hAnsi="Times" w:cs="Times"/>
                <w:sz w:val="20"/>
                <w:highlight w:val="green"/>
              </w:rPr>
              <w:t>Agreements</w:t>
            </w:r>
            <w:r w:rsidRPr="006E1C99">
              <w:rPr>
                <w:rFonts w:ascii="Times" w:hAnsi="Times" w:cs="Times"/>
                <w:b/>
                <w:sz w:val="20"/>
              </w:rPr>
              <w:t>:</w:t>
            </w:r>
          </w:p>
          <w:p w14:paraId="03EA56F7" w14:textId="77777777" w:rsidR="006E1C99" w:rsidRPr="006E1C99" w:rsidRDefault="006E1C99" w:rsidP="006E1C99">
            <w:pPr>
              <w:spacing w:after="0"/>
              <w:rPr>
                <w:rFonts w:ascii="Times" w:hAnsi="Times" w:cs="Times"/>
                <w:sz w:val="20"/>
              </w:rPr>
            </w:pPr>
            <w:r w:rsidRPr="006E1C99">
              <w:rPr>
                <w:rFonts w:ascii="Times" w:hAnsi="Times" w:cs="Times"/>
                <w:sz w:val="20"/>
              </w:rPr>
              <w:t>Regarding RRC-based versus DCI-based activation/release of LTE sidelink SPS, RAN1 agrees to make the choice on the basis of at least:</w:t>
            </w:r>
          </w:p>
          <w:p w14:paraId="5016E133" w14:textId="77777777" w:rsidR="006E1C99" w:rsidRPr="006E1C99" w:rsidRDefault="006E1C99" w:rsidP="006E1C99">
            <w:pPr>
              <w:pStyle w:val="ListParagraph"/>
              <w:numPr>
                <w:ilvl w:val="0"/>
                <w:numId w:val="33"/>
              </w:numPr>
              <w:overflowPunct/>
              <w:autoSpaceDE/>
              <w:autoSpaceDN/>
              <w:adjustRightInd/>
              <w:jc w:val="both"/>
              <w:textAlignment w:val="auto"/>
              <w:rPr>
                <w:rFonts w:ascii="Times" w:hAnsi="Times" w:cs="Times"/>
                <w:sz w:val="20"/>
                <w:lang w:val="en-US"/>
              </w:rPr>
            </w:pPr>
            <w:r w:rsidRPr="006E1C99">
              <w:rPr>
                <w:rFonts w:ascii="Times" w:hAnsi="Times" w:cs="Times"/>
                <w:sz w:val="20"/>
                <w:lang w:val="en-US"/>
              </w:rPr>
              <w:t>Spec impact</w:t>
            </w:r>
          </w:p>
          <w:p w14:paraId="18CA4675" w14:textId="77777777" w:rsidR="006E1C99" w:rsidRPr="006E1C99" w:rsidRDefault="006E1C99" w:rsidP="006E1C99">
            <w:pPr>
              <w:pStyle w:val="ListParagraph"/>
              <w:numPr>
                <w:ilvl w:val="0"/>
                <w:numId w:val="33"/>
              </w:numPr>
              <w:overflowPunct/>
              <w:autoSpaceDE/>
              <w:autoSpaceDN/>
              <w:adjustRightInd/>
              <w:jc w:val="both"/>
              <w:textAlignment w:val="auto"/>
              <w:rPr>
                <w:rFonts w:ascii="Times" w:hAnsi="Times" w:cs="Times"/>
                <w:sz w:val="20"/>
                <w:lang w:val="en-US"/>
              </w:rPr>
            </w:pPr>
            <w:r w:rsidRPr="006E1C99">
              <w:rPr>
                <w:rFonts w:ascii="Times" w:hAnsi="Times" w:cs="Times"/>
                <w:sz w:val="20"/>
                <w:lang w:val="en-US"/>
              </w:rPr>
              <w:t>Flexibility</w:t>
            </w:r>
          </w:p>
          <w:p w14:paraId="22FDC3AF" w14:textId="77777777" w:rsidR="006E1C99" w:rsidRPr="006E1C99" w:rsidRDefault="006E1C99" w:rsidP="006E1C99">
            <w:pPr>
              <w:pStyle w:val="ListParagraph"/>
              <w:numPr>
                <w:ilvl w:val="0"/>
                <w:numId w:val="33"/>
              </w:numPr>
              <w:overflowPunct/>
              <w:autoSpaceDE/>
              <w:autoSpaceDN/>
              <w:adjustRightInd/>
              <w:jc w:val="both"/>
              <w:textAlignment w:val="auto"/>
              <w:rPr>
                <w:rFonts w:ascii="Times" w:hAnsi="Times" w:cs="Times"/>
                <w:sz w:val="20"/>
                <w:lang w:val="en-US"/>
              </w:rPr>
            </w:pPr>
            <w:r w:rsidRPr="006E1C99">
              <w:rPr>
                <w:rFonts w:ascii="Times" w:hAnsi="Times" w:cs="Times"/>
                <w:sz w:val="20"/>
                <w:lang w:val="en-US"/>
              </w:rPr>
              <w:t>Performance, including latency</w:t>
            </w:r>
          </w:p>
          <w:p w14:paraId="7C48C77E" w14:textId="77777777" w:rsidR="006E1C99" w:rsidRPr="006E1C99" w:rsidRDefault="006E1C99" w:rsidP="006E1C99">
            <w:pPr>
              <w:pStyle w:val="ListParagraph"/>
              <w:numPr>
                <w:ilvl w:val="0"/>
                <w:numId w:val="33"/>
              </w:numPr>
              <w:overflowPunct/>
              <w:autoSpaceDE/>
              <w:autoSpaceDN/>
              <w:adjustRightInd/>
              <w:jc w:val="both"/>
              <w:textAlignment w:val="auto"/>
              <w:rPr>
                <w:rFonts w:ascii="Times" w:hAnsi="Times" w:cs="Times"/>
                <w:sz w:val="20"/>
                <w:lang w:val="en-US"/>
              </w:rPr>
            </w:pPr>
            <w:r w:rsidRPr="006E1C99">
              <w:rPr>
                <w:rFonts w:ascii="Times" w:hAnsi="Times" w:cs="Times"/>
                <w:sz w:val="20"/>
                <w:lang w:val="en-US"/>
              </w:rPr>
              <w:t>Implementation complexity</w:t>
            </w:r>
          </w:p>
          <w:p w14:paraId="64D3FFE3" w14:textId="5F943577" w:rsidR="006E1C99" w:rsidRPr="006E1C99" w:rsidRDefault="006E1C99" w:rsidP="006E1C99">
            <w:pPr>
              <w:pStyle w:val="ListParagraph"/>
              <w:numPr>
                <w:ilvl w:val="0"/>
                <w:numId w:val="33"/>
              </w:numPr>
              <w:overflowPunct/>
              <w:autoSpaceDE/>
              <w:autoSpaceDN/>
              <w:adjustRightInd/>
              <w:jc w:val="both"/>
              <w:textAlignment w:val="auto"/>
              <w:rPr>
                <w:rFonts w:cs="Arial"/>
                <w:lang w:val="en-US"/>
              </w:rPr>
            </w:pPr>
            <w:r w:rsidRPr="006E1C99">
              <w:rPr>
                <w:rFonts w:ascii="Times" w:hAnsi="Times" w:cs="Times"/>
                <w:sz w:val="20"/>
                <w:lang w:val="en-US"/>
              </w:rPr>
              <w:t>Timing of the activation/deactivation</w:t>
            </w:r>
            <w:bookmarkEnd w:id="1"/>
          </w:p>
        </w:tc>
      </w:tr>
    </w:tbl>
    <w:p w14:paraId="39D9143E" w14:textId="57BC4D09" w:rsidR="00464FF9" w:rsidRPr="000C728E" w:rsidRDefault="00464FF9" w:rsidP="00464FF9">
      <w:pPr>
        <w:spacing w:before="240"/>
        <w:rPr>
          <w:rFonts w:ascii="Arial" w:hAnsi="Arial" w:cs="Arial"/>
        </w:rPr>
      </w:pPr>
      <w:r w:rsidRPr="000C728E">
        <w:rPr>
          <w:rFonts w:ascii="Arial" w:hAnsi="Arial" w:cs="Arial"/>
        </w:rPr>
        <w:t>In this paper we present our views on the topic.</w:t>
      </w:r>
    </w:p>
    <w:p w14:paraId="57EA527B" w14:textId="77777777" w:rsidR="00464FF9" w:rsidRDefault="00464FF9" w:rsidP="00464FF9">
      <w:pPr>
        <w:pStyle w:val="Heading1"/>
      </w:pPr>
      <w:r>
        <w:t>2</w:t>
      </w:r>
      <w:r>
        <w:tab/>
        <w:t>NR Uu controlling LTE mode-3 UEs</w:t>
      </w:r>
    </w:p>
    <w:p w14:paraId="536B2F38" w14:textId="242B5C05" w:rsidR="00464FF9" w:rsidRPr="000C728E" w:rsidRDefault="00464FF9" w:rsidP="00464FF9">
      <w:pPr>
        <w:jc w:val="both"/>
        <w:rPr>
          <w:rFonts w:ascii="Arial" w:hAnsi="Arial" w:cs="Arial"/>
          <w:lang w:val="en-US"/>
        </w:rPr>
      </w:pPr>
      <w:r w:rsidRPr="000C728E">
        <w:rPr>
          <w:rFonts w:ascii="Arial" w:hAnsi="Arial" w:cs="Arial"/>
        </w:rPr>
        <w:t>During</w:t>
      </w:r>
      <w:r w:rsidRPr="000C728E" w:rsidDel="004B1A2F">
        <w:rPr>
          <w:rFonts w:ascii="Arial" w:hAnsi="Arial" w:cs="Arial"/>
        </w:rPr>
        <w:t xml:space="preserve"> </w:t>
      </w:r>
      <w:r w:rsidRPr="000C728E">
        <w:rPr>
          <w:rFonts w:ascii="Arial" w:hAnsi="Arial" w:cs="Arial"/>
        </w:rPr>
        <w:t xml:space="preserve">RAN1#96 it has been agreed to support scheduling by gNB using RRC for LTE scheduled mode. However, the NR V2X WID includes to consider RRC-configured SPS scheduling with either RRC-based activation/deactivation or DCI-based activation/deactivation, with final decision up to RAN1. To </w:t>
      </w:r>
      <w:proofErr w:type="gramStart"/>
      <w:r w:rsidRPr="000C728E">
        <w:rPr>
          <w:rFonts w:ascii="Arial" w:hAnsi="Arial" w:cs="Arial"/>
        </w:rPr>
        <w:t>make a decision</w:t>
      </w:r>
      <w:proofErr w:type="gramEnd"/>
      <w:r w:rsidRPr="000C728E">
        <w:rPr>
          <w:rFonts w:ascii="Arial" w:hAnsi="Arial" w:cs="Arial"/>
        </w:rPr>
        <w:t xml:space="preserve">, </w:t>
      </w:r>
      <w:r w:rsidRPr="000C728E">
        <w:rPr>
          <w:rFonts w:ascii="Arial" w:hAnsi="Arial" w:cs="Arial"/>
          <w:lang w:val="en-US"/>
        </w:rPr>
        <w:t>timing relationships considering the latency requirements and reliability are aspects to be considered.</w:t>
      </w:r>
    </w:p>
    <w:p w14:paraId="51FF5ED2" w14:textId="42E60A8E" w:rsidR="00464FF9" w:rsidRPr="000C728E" w:rsidRDefault="00464FF9" w:rsidP="00464FF9">
      <w:pPr>
        <w:jc w:val="both"/>
        <w:rPr>
          <w:rFonts w:ascii="Arial" w:hAnsi="Arial" w:cs="Arial"/>
        </w:rPr>
      </w:pPr>
      <w:r w:rsidRPr="000C728E">
        <w:rPr>
          <w:rFonts w:ascii="Arial" w:hAnsi="Arial" w:cs="Arial"/>
        </w:rPr>
        <w:t xml:space="preserve">LTE V2X targets basic safety services, </w:t>
      </w:r>
      <w:r w:rsidRPr="000C728E">
        <w:rPr>
          <w:rFonts w:ascii="Arial" w:hAnsi="Arial" w:cs="Arial"/>
          <w:i/>
        </w:rPr>
        <w:t>e.g</w:t>
      </w:r>
      <w:r w:rsidRPr="000C728E">
        <w:rPr>
          <w:rFonts w:ascii="Arial" w:hAnsi="Arial" w:cs="Arial"/>
        </w:rPr>
        <w:t xml:space="preserve">., CAM or BSM, which consist of periodic transmissions with periodicities in the order of 100 ms. These transmissions are not latency critical with the requirements being </w:t>
      </w:r>
      <w:r w:rsidR="0066354D">
        <w:rPr>
          <w:rFonts w:ascii="Arial" w:hAnsi="Arial" w:cs="Arial"/>
        </w:rPr>
        <w:t>in the</w:t>
      </w:r>
      <w:r w:rsidRPr="000C728E">
        <w:rPr>
          <w:rFonts w:ascii="Arial" w:hAnsi="Arial" w:cs="Arial"/>
        </w:rPr>
        <w:t xml:space="preserve"> order of 100 ms. </w:t>
      </w:r>
    </w:p>
    <w:p w14:paraId="4CE57235" w14:textId="77777777" w:rsidR="00464FF9" w:rsidRPr="000C728E" w:rsidRDefault="00464FF9" w:rsidP="00464FF9">
      <w:pPr>
        <w:rPr>
          <w:rFonts w:ascii="Arial" w:hAnsi="Arial" w:cs="Arial"/>
        </w:rPr>
      </w:pPr>
      <w:r w:rsidRPr="000C728E">
        <w:rPr>
          <w:rFonts w:ascii="Arial" w:hAnsi="Arial" w:cs="Arial"/>
        </w:rPr>
        <w:t xml:space="preserve">Different configuration steps needed to be considered: initial configuration and activation, deactivation, and reactivation. </w:t>
      </w:r>
    </w:p>
    <w:p w14:paraId="195B45E1" w14:textId="77777777" w:rsidR="00464FF9" w:rsidRPr="009C6B31" w:rsidRDefault="00464FF9" w:rsidP="00464FF9">
      <w:pPr>
        <w:pStyle w:val="ListParagraph"/>
        <w:numPr>
          <w:ilvl w:val="0"/>
          <w:numId w:val="36"/>
        </w:numPr>
        <w:jc w:val="both"/>
        <w:rPr>
          <w:rFonts w:ascii="Arial" w:hAnsi="Arial" w:cs="Arial"/>
          <w:sz w:val="20"/>
          <w:szCs w:val="20"/>
        </w:rPr>
      </w:pPr>
      <w:r w:rsidRPr="009C6B31">
        <w:rPr>
          <w:rFonts w:ascii="Arial" w:hAnsi="Arial" w:cs="Arial"/>
          <w:sz w:val="20"/>
          <w:szCs w:val="20"/>
        </w:rPr>
        <w:t xml:space="preserve">For initial configuration and activation, it is clear that RRC configuration and activation in one step is always faster than RRC configuration </w:t>
      </w:r>
      <w:r w:rsidRPr="009C6B31">
        <w:rPr>
          <w:rFonts w:ascii="Arial" w:hAnsi="Arial" w:cs="Arial"/>
          <w:sz w:val="20"/>
          <w:szCs w:val="20"/>
          <w:lang w:val="en-US"/>
        </w:rPr>
        <w:t>with subsequent</w:t>
      </w:r>
      <w:r w:rsidRPr="009C6B31">
        <w:rPr>
          <w:rFonts w:ascii="Arial" w:hAnsi="Arial" w:cs="Arial"/>
          <w:sz w:val="20"/>
          <w:szCs w:val="20"/>
        </w:rPr>
        <w:t xml:space="preserve"> DCI </w:t>
      </w:r>
      <w:r w:rsidRPr="009C6B31">
        <w:rPr>
          <w:rFonts w:ascii="Arial" w:hAnsi="Arial" w:cs="Arial"/>
          <w:sz w:val="20"/>
          <w:szCs w:val="20"/>
          <w:lang w:val="en-US"/>
        </w:rPr>
        <w:t>activation</w:t>
      </w:r>
      <w:r w:rsidRPr="009C6B31">
        <w:rPr>
          <w:rFonts w:ascii="Arial" w:hAnsi="Arial" w:cs="Arial"/>
          <w:sz w:val="20"/>
          <w:szCs w:val="20"/>
        </w:rPr>
        <w:t xml:space="preserve">. </w:t>
      </w:r>
    </w:p>
    <w:p w14:paraId="5D948E6C" w14:textId="77777777" w:rsidR="00464FF9" w:rsidRPr="009C6B31" w:rsidRDefault="00464FF9" w:rsidP="00464FF9">
      <w:pPr>
        <w:pStyle w:val="ListParagraph"/>
        <w:numPr>
          <w:ilvl w:val="0"/>
          <w:numId w:val="36"/>
        </w:numPr>
        <w:jc w:val="both"/>
        <w:rPr>
          <w:rFonts w:ascii="Arial" w:hAnsi="Arial" w:cs="Arial"/>
          <w:sz w:val="20"/>
          <w:szCs w:val="20"/>
        </w:rPr>
      </w:pPr>
      <w:r w:rsidRPr="009C6B31">
        <w:rPr>
          <w:rFonts w:ascii="Arial" w:hAnsi="Arial" w:cs="Arial"/>
          <w:sz w:val="20"/>
          <w:szCs w:val="20"/>
        </w:rPr>
        <w:t xml:space="preserve">For deactivation, </w:t>
      </w:r>
      <w:r w:rsidRPr="009C6B31">
        <w:rPr>
          <w:rFonts w:ascii="Arial" w:hAnsi="Arial" w:cs="Arial"/>
          <w:sz w:val="20"/>
          <w:szCs w:val="20"/>
          <w:lang w:val="en-US"/>
        </w:rPr>
        <w:t xml:space="preserve">both alternatives consist of transmitting one message in the downlink and, thus, have similar latencies. Moreover, even if </w:t>
      </w:r>
      <w:r w:rsidRPr="009C6B31">
        <w:rPr>
          <w:rFonts w:ascii="Arial" w:hAnsi="Arial" w:cs="Arial"/>
          <w:sz w:val="20"/>
          <w:szCs w:val="20"/>
        </w:rPr>
        <w:t xml:space="preserve">DCI </w:t>
      </w:r>
      <w:r w:rsidRPr="009C6B31">
        <w:rPr>
          <w:rFonts w:ascii="Arial" w:hAnsi="Arial" w:cs="Arial"/>
          <w:sz w:val="20"/>
          <w:szCs w:val="20"/>
          <w:lang w:val="en-US"/>
        </w:rPr>
        <w:t>deactivation were</w:t>
      </w:r>
      <w:r w:rsidRPr="009C6B31">
        <w:rPr>
          <w:rFonts w:ascii="Arial" w:hAnsi="Arial" w:cs="Arial"/>
          <w:sz w:val="20"/>
          <w:szCs w:val="20"/>
        </w:rPr>
        <w:t xml:space="preserve"> faster than RRC </w:t>
      </w:r>
      <w:r w:rsidRPr="009C6B31">
        <w:rPr>
          <w:rFonts w:ascii="Arial" w:hAnsi="Arial" w:cs="Arial"/>
          <w:sz w:val="20"/>
          <w:szCs w:val="20"/>
          <w:lang w:val="en-US"/>
        </w:rPr>
        <w:t xml:space="preserve">deactivation, this </w:t>
      </w:r>
      <w:r w:rsidRPr="009C6B31" w:rsidDel="001C6544">
        <w:rPr>
          <w:rFonts w:ascii="Arial" w:hAnsi="Arial" w:cs="Arial"/>
          <w:sz w:val="20"/>
          <w:szCs w:val="20"/>
          <w:lang w:val="en-US"/>
        </w:rPr>
        <w:t>would</w:t>
      </w:r>
      <w:r w:rsidRPr="009C6B31">
        <w:rPr>
          <w:rFonts w:ascii="Arial" w:hAnsi="Arial" w:cs="Arial"/>
          <w:sz w:val="20"/>
          <w:szCs w:val="20"/>
        </w:rPr>
        <w:t xml:space="preserve"> not make any difference in </w:t>
      </w:r>
      <w:r w:rsidRPr="009C6B31">
        <w:rPr>
          <w:rFonts w:ascii="Arial" w:hAnsi="Arial" w:cs="Arial"/>
          <w:sz w:val="20"/>
          <w:szCs w:val="20"/>
          <w:lang w:val="en-US"/>
        </w:rPr>
        <w:t>practice</w:t>
      </w:r>
      <w:r w:rsidRPr="009C6B31">
        <w:rPr>
          <w:rFonts w:ascii="Arial" w:hAnsi="Arial" w:cs="Arial"/>
          <w:sz w:val="20"/>
          <w:szCs w:val="20"/>
        </w:rPr>
        <w:t xml:space="preserve">. </w:t>
      </w:r>
      <w:r w:rsidRPr="009C6B31">
        <w:rPr>
          <w:rFonts w:ascii="Arial" w:hAnsi="Arial" w:cs="Arial"/>
          <w:sz w:val="20"/>
          <w:szCs w:val="20"/>
          <w:lang w:val="en-US"/>
        </w:rPr>
        <w:t xml:space="preserve">The reason being that </w:t>
      </w:r>
      <w:r w:rsidRPr="009C6B31">
        <w:rPr>
          <w:rFonts w:ascii="Arial" w:hAnsi="Arial" w:cs="Arial"/>
          <w:sz w:val="20"/>
          <w:szCs w:val="20"/>
        </w:rPr>
        <w:t xml:space="preserve">the </w:t>
      </w:r>
      <w:r w:rsidRPr="009C6B31">
        <w:rPr>
          <w:rFonts w:ascii="Arial" w:hAnsi="Arial" w:cs="Arial"/>
          <w:sz w:val="20"/>
          <w:szCs w:val="20"/>
          <w:lang w:val="en-US"/>
        </w:rPr>
        <w:t xml:space="preserve">configurable LTE </w:t>
      </w:r>
      <w:r w:rsidRPr="009C6B31">
        <w:rPr>
          <w:rFonts w:ascii="Arial" w:hAnsi="Arial" w:cs="Arial"/>
          <w:sz w:val="20"/>
          <w:szCs w:val="20"/>
        </w:rPr>
        <w:t xml:space="preserve">transmission periodicities are large enough </w:t>
      </w:r>
      <w:r w:rsidRPr="009C6B31">
        <w:rPr>
          <w:rFonts w:ascii="Arial" w:hAnsi="Arial" w:cs="Arial"/>
          <w:sz w:val="20"/>
          <w:szCs w:val="20"/>
          <w:lang w:val="en-US"/>
        </w:rPr>
        <w:t>for</w:t>
      </w:r>
      <w:r w:rsidRPr="009C6B31">
        <w:rPr>
          <w:rFonts w:ascii="Arial" w:hAnsi="Arial" w:cs="Arial"/>
          <w:sz w:val="20"/>
          <w:szCs w:val="20"/>
        </w:rPr>
        <w:t xml:space="preserve"> </w:t>
      </w:r>
      <w:r w:rsidRPr="009C6B31">
        <w:rPr>
          <w:rFonts w:ascii="Arial" w:hAnsi="Arial" w:cs="Arial"/>
          <w:sz w:val="20"/>
          <w:szCs w:val="20"/>
          <w:lang w:val="en-US"/>
        </w:rPr>
        <w:t>any potential</w:t>
      </w:r>
      <w:r w:rsidRPr="009C6B31">
        <w:rPr>
          <w:rFonts w:ascii="Arial" w:hAnsi="Arial" w:cs="Arial"/>
          <w:sz w:val="20"/>
          <w:szCs w:val="20"/>
        </w:rPr>
        <w:t xml:space="preserve"> time difference between RRC signalling and DCI-based signalling </w:t>
      </w:r>
      <w:r w:rsidRPr="009C6B31">
        <w:rPr>
          <w:rFonts w:ascii="Arial" w:hAnsi="Arial" w:cs="Arial"/>
          <w:sz w:val="20"/>
          <w:szCs w:val="20"/>
          <w:lang w:val="en-US"/>
        </w:rPr>
        <w:t>to be negligible</w:t>
      </w:r>
      <w:r w:rsidRPr="009C6B31">
        <w:rPr>
          <w:rFonts w:ascii="Arial" w:hAnsi="Arial" w:cs="Arial"/>
          <w:sz w:val="20"/>
          <w:szCs w:val="20"/>
        </w:rPr>
        <w:t>. In worst case, resources may be wasted for one transmission.</w:t>
      </w:r>
    </w:p>
    <w:p w14:paraId="27289C3A" w14:textId="170875B8" w:rsidR="00464FF9" w:rsidRPr="000C728E" w:rsidRDefault="00464FF9" w:rsidP="00464FF9">
      <w:pPr>
        <w:pStyle w:val="ListParagraph"/>
        <w:numPr>
          <w:ilvl w:val="0"/>
          <w:numId w:val="36"/>
        </w:numPr>
        <w:jc w:val="both"/>
        <w:rPr>
          <w:rFonts w:ascii="Arial" w:hAnsi="Arial" w:cs="Arial"/>
          <w:sz w:val="20"/>
          <w:szCs w:val="20"/>
        </w:rPr>
      </w:pPr>
      <w:r w:rsidRPr="009C6B31">
        <w:rPr>
          <w:rFonts w:ascii="Arial" w:hAnsi="Arial" w:cs="Arial"/>
          <w:sz w:val="20"/>
          <w:szCs w:val="20"/>
        </w:rPr>
        <w:t>For reactivation</w:t>
      </w:r>
      <w:r w:rsidR="002D4FC2" w:rsidRPr="00A3439B">
        <w:rPr>
          <w:rFonts w:ascii="Arial" w:hAnsi="Arial" w:cs="Arial"/>
          <w:sz w:val="20"/>
          <w:szCs w:val="20"/>
          <w:lang w:val="en-US"/>
        </w:rPr>
        <w:t>,</w:t>
      </w:r>
      <w:r w:rsidRPr="009C6B31">
        <w:rPr>
          <w:rFonts w:ascii="Arial" w:hAnsi="Arial" w:cs="Arial"/>
          <w:sz w:val="20"/>
          <w:szCs w:val="20"/>
        </w:rPr>
        <w:t xml:space="preserve"> once the SPS grant is configured,</w:t>
      </w:r>
      <w:r w:rsidRPr="009C6B31">
        <w:rPr>
          <w:rFonts w:ascii="Arial" w:hAnsi="Arial" w:cs="Arial"/>
          <w:sz w:val="20"/>
          <w:szCs w:val="20"/>
          <w:lang w:val="en-US"/>
        </w:rPr>
        <w:t xml:space="preserve"> the same logic as for deactivation</w:t>
      </w:r>
      <w:r w:rsidRPr="000C728E">
        <w:rPr>
          <w:rFonts w:ascii="Arial" w:hAnsi="Arial" w:cs="Arial"/>
          <w:sz w:val="20"/>
          <w:szCs w:val="20"/>
          <w:lang w:val="en-US"/>
        </w:rPr>
        <w:t xml:space="preserve"> applies. </w:t>
      </w:r>
      <w:r w:rsidRPr="000C728E">
        <w:rPr>
          <w:rFonts w:ascii="Arial" w:hAnsi="Arial" w:cs="Arial"/>
          <w:sz w:val="20"/>
          <w:szCs w:val="20"/>
        </w:rPr>
        <w:t xml:space="preserve">Given that the latency requirements are quite relaxed, this is would not pose a problem. </w:t>
      </w:r>
    </w:p>
    <w:p w14:paraId="66929A19" w14:textId="26DA7C6B" w:rsidR="001C61EF" w:rsidRDefault="00464FF9" w:rsidP="001F6807">
      <w:pPr>
        <w:spacing w:before="240"/>
        <w:jc w:val="both"/>
        <w:rPr>
          <w:rFonts w:ascii="Arial" w:hAnsi="Arial" w:cs="Arial"/>
        </w:rPr>
      </w:pPr>
      <w:r w:rsidRPr="000C728E">
        <w:rPr>
          <w:rFonts w:ascii="Arial" w:hAnsi="Arial" w:cs="Arial"/>
        </w:rPr>
        <w:t xml:space="preserve">We emphasize that NR DL transmission has multiple means (e.g., short slot symbol, mini-slot transmission, </w:t>
      </w:r>
      <w:r w:rsidRPr="00246157">
        <w:rPr>
          <w:rFonts w:ascii="Arial" w:hAnsi="Arial" w:cs="Arial"/>
        </w:rPr>
        <w:t>etc</w:t>
      </w:r>
      <w:r w:rsidRPr="000C728E">
        <w:rPr>
          <w:rFonts w:ascii="Arial" w:hAnsi="Arial" w:cs="Arial"/>
        </w:rPr>
        <w:t>.) to deliver an RRC message in less time than LTE can deliver DCI.</w:t>
      </w:r>
      <w:r w:rsidR="001F6807">
        <w:rPr>
          <w:rFonts w:ascii="Arial" w:hAnsi="Arial" w:cs="Arial"/>
        </w:rPr>
        <w:t xml:space="preserve"> Besides the radio signalling latency, there is some int</w:t>
      </w:r>
      <w:r w:rsidR="00330E77">
        <w:rPr>
          <w:rFonts w:ascii="Arial" w:hAnsi="Arial" w:cs="Arial"/>
        </w:rPr>
        <w:t>ra-device signaling (between NR and LTE UEs) that needs to be considered</w:t>
      </w:r>
      <w:r w:rsidR="00FC7072">
        <w:rPr>
          <w:rFonts w:ascii="Arial" w:hAnsi="Arial" w:cs="Arial"/>
        </w:rPr>
        <w:t>.</w:t>
      </w:r>
      <w:r w:rsidR="00376B01">
        <w:rPr>
          <w:rFonts w:ascii="Arial" w:hAnsi="Arial" w:cs="Arial"/>
        </w:rPr>
        <w:t xml:space="preserve"> </w:t>
      </w:r>
      <w:r w:rsidR="005D1B8A">
        <w:rPr>
          <w:rFonts w:ascii="Arial" w:hAnsi="Arial" w:cs="Arial"/>
        </w:rPr>
        <w:t xml:space="preserve">This issue was </w:t>
      </w:r>
      <w:r w:rsidR="001B3013">
        <w:rPr>
          <w:rFonts w:ascii="Arial" w:hAnsi="Arial" w:cs="Arial"/>
        </w:rPr>
        <w:t>discussed</w:t>
      </w:r>
      <w:r w:rsidR="005D1B8A">
        <w:rPr>
          <w:rFonts w:ascii="Arial" w:hAnsi="Arial" w:cs="Arial"/>
        </w:rPr>
        <w:t xml:space="preserve"> during the SI and lead RAN1 to conclude that </w:t>
      </w:r>
      <w:r w:rsidR="00D81EAF">
        <w:rPr>
          <w:rFonts w:ascii="Arial" w:hAnsi="Arial" w:cs="Arial"/>
        </w:rPr>
        <w:t>DCI-based scheduling was not feasible. Thus, any potential gains of DCI-based activation/deactivation of SPS grants would suffer the same problems.</w:t>
      </w:r>
    </w:p>
    <w:p w14:paraId="67F140D6" w14:textId="50832E56" w:rsidR="00D81EAF" w:rsidRPr="000C728E" w:rsidRDefault="00D81EAF" w:rsidP="00D81EAF">
      <w:pPr>
        <w:pStyle w:val="Observation"/>
        <w:overflowPunct/>
        <w:autoSpaceDE/>
        <w:autoSpaceDN/>
        <w:adjustRightInd/>
        <w:spacing w:line="259" w:lineRule="auto"/>
        <w:textAlignment w:val="auto"/>
        <w:rPr>
          <w:rFonts w:cs="Arial"/>
          <w:szCs w:val="22"/>
          <w:lang w:val="en-US"/>
        </w:rPr>
      </w:pPr>
      <w:bookmarkStart w:id="2" w:name="_Toc7682869"/>
      <w:r>
        <w:rPr>
          <w:rFonts w:cs="Arial"/>
          <w:szCs w:val="22"/>
          <w:lang w:val="en-US"/>
        </w:rPr>
        <w:t>RAN1</w:t>
      </w:r>
      <w:r w:rsidR="00E03EB6">
        <w:rPr>
          <w:rFonts w:cs="Arial"/>
          <w:szCs w:val="22"/>
          <w:lang w:val="en-US"/>
        </w:rPr>
        <w:t xml:space="preserve"> observed during the SI that DCI-based scheduling was not feasible for some UE designs due to intra-device </w:t>
      </w:r>
      <w:r w:rsidR="009E3F8E">
        <w:rPr>
          <w:rFonts w:cs="Arial"/>
          <w:szCs w:val="22"/>
          <w:lang w:val="en-US"/>
        </w:rPr>
        <w:t>signaling delay</w:t>
      </w:r>
      <w:r w:rsidRPr="000C728E">
        <w:rPr>
          <w:rFonts w:cs="Arial"/>
          <w:szCs w:val="22"/>
          <w:lang w:val="en-US"/>
        </w:rPr>
        <w:t>.</w:t>
      </w:r>
      <w:r w:rsidR="009E3F8E">
        <w:rPr>
          <w:rFonts w:cs="Arial"/>
          <w:szCs w:val="22"/>
          <w:lang w:val="en-US"/>
        </w:rPr>
        <w:t xml:space="preserve"> The same delay is expected for </w:t>
      </w:r>
      <w:r w:rsidR="009E3F8E">
        <w:rPr>
          <w:rFonts w:cs="Arial"/>
        </w:rPr>
        <w:t>DCI-based activation/deactivation of SPS grants.</w:t>
      </w:r>
      <w:bookmarkEnd w:id="2"/>
    </w:p>
    <w:p w14:paraId="41E3C1F2" w14:textId="707E6D8F" w:rsidR="00464FF9" w:rsidRPr="000C728E" w:rsidRDefault="00775BDD" w:rsidP="00464FF9">
      <w:pPr>
        <w:rPr>
          <w:rFonts w:ascii="Arial" w:hAnsi="Arial" w:cs="Arial"/>
        </w:rPr>
      </w:pPr>
      <w:r>
        <w:rPr>
          <w:rFonts w:ascii="Arial" w:hAnsi="Arial" w:cs="Arial"/>
          <w:lang w:val="en-US"/>
        </w:rPr>
        <w:t>I</w:t>
      </w:r>
      <w:r w:rsidR="00464FF9" w:rsidRPr="000C728E">
        <w:rPr>
          <w:rFonts w:ascii="Arial" w:hAnsi="Arial" w:cs="Arial"/>
        </w:rPr>
        <w:t>n terms of reliability, RRC is more reliable than DCI</w:t>
      </w:r>
      <w:r w:rsidR="00C84126">
        <w:rPr>
          <w:rFonts w:ascii="Arial" w:hAnsi="Arial" w:cs="Arial"/>
        </w:rPr>
        <w:t xml:space="preserve"> due to the presence of HARQ, </w:t>
      </w:r>
      <w:r w:rsidR="00C84126" w:rsidRPr="00A3439B">
        <w:rPr>
          <w:rFonts w:ascii="Arial" w:hAnsi="Arial" w:cs="Arial"/>
          <w:i/>
        </w:rPr>
        <w:t>etc.</w:t>
      </w:r>
    </w:p>
    <w:p w14:paraId="59944744" w14:textId="77777777" w:rsidR="00464FF9" w:rsidRPr="000C728E" w:rsidRDefault="00464FF9" w:rsidP="00464FF9">
      <w:pPr>
        <w:pStyle w:val="Observation"/>
        <w:overflowPunct/>
        <w:autoSpaceDE/>
        <w:autoSpaceDN/>
        <w:adjustRightInd/>
        <w:spacing w:line="259" w:lineRule="auto"/>
        <w:textAlignment w:val="auto"/>
        <w:rPr>
          <w:rFonts w:cs="Arial"/>
          <w:szCs w:val="22"/>
          <w:lang w:val="en-US"/>
        </w:rPr>
      </w:pPr>
      <w:bookmarkStart w:id="3" w:name="_Toc4593980"/>
      <w:bookmarkStart w:id="4" w:name="_Toc4594026"/>
      <w:bookmarkStart w:id="5" w:name="_Toc4594096"/>
      <w:bookmarkStart w:id="6" w:name="_Toc4594124"/>
      <w:bookmarkStart w:id="7" w:name="_Toc4594390"/>
      <w:bookmarkStart w:id="8" w:name="_Toc4595240"/>
      <w:bookmarkStart w:id="9" w:name="_Toc4595264"/>
      <w:bookmarkStart w:id="10" w:name="_Toc4595365"/>
      <w:bookmarkStart w:id="11" w:name="_Toc4595762"/>
      <w:bookmarkStart w:id="12" w:name="_Toc5057336"/>
      <w:bookmarkStart w:id="13" w:name="_Toc5057337"/>
      <w:bookmarkStart w:id="14" w:name="_Toc5057338"/>
      <w:bookmarkStart w:id="15" w:name="_Toc5057339"/>
      <w:bookmarkStart w:id="16" w:name="_Toc5057340"/>
      <w:bookmarkStart w:id="17" w:name="_Toc5057341"/>
      <w:bookmarkStart w:id="18" w:name="_Toc5057342"/>
      <w:bookmarkStart w:id="19" w:name="_Toc768287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0C728E">
        <w:rPr>
          <w:rFonts w:cs="Arial"/>
          <w:szCs w:val="22"/>
          <w:lang w:val="en-US"/>
        </w:rPr>
        <w:t>NR Uu meets the latency and reliability requirements for controlling LTE Mode-3 UEs with RRC messages. In some regards, NR Uu control of LTE Mode-3 UEs improves upon LTE Uu control of LTE Mode-3 UEs.</w:t>
      </w:r>
      <w:bookmarkEnd w:id="19"/>
    </w:p>
    <w:p w14:paraId="0DB9AAF5" w14:textId="3112EFF2" w:rsidR="00775BDD" w:rsidRPr="001A3A5F" w:rsidRDefault="00775BDD" w:rsidP="000021C9">
      <w:pPr>
        <w:jc w:val="both"/>
        <w:rPr>
          <w:rFonts w:ascii="Arial" w:hAnsi="Arial" w:cs="Arial"/>
        </w:rPr>
      </w:pPr>
      <w:r>
        <w:rPr>
          <w:rFonts w:ascii="Arial" w:hAnsi="Arial" w:cs="Arial"/>
          <w:szCs w:val="22"/>
        </w:rPr>
        <w:lastRenderedPageBreak/>
        <w:t xml:space="preserve">In </w:t>
      </w:r>
      <w:r w:rsidRPr="001A3A5F">
        <w:rPr>
          <w:rFonts w:ascii="Arial" w:hAnsi="Arial" w:cs="Arial"/>
        </w:rPr>
        <w:t>terms of implementation complexity</w:t>
      </w:r>
      <w:r w:rsidR="00B311D6" w:rsidRPr="001A3A5F">
        <w:rPr>
          <w:rFonts w:ascii="Arial" w:hAnsi="Arial" w:cs="Arial"/>
        </w:rPr>
        <w:t>, we observe the following:</w:t>
      </w:r>
    </w:p>
    <w:p w14:paraId="3E8BEC55" w14:textId="0C65037A" w:rsidR="00B311D6" w:rsidRPr="001A3A5F" w:rsidRDefault="00241015" w:rsidP="000021C9">
      <w:pPr>
        <w:pStyle w:val="ListParagraph"/>
        <w:numPr>
          <w:ilvl w:val="0"/>
          <w:numId w:val="38"/>
        </w:numPr>
        <w:jc w:val="both"/>
        <w:rPr>
          <w:rFonts w:ascii="Arial" w:hAnsi="Arial" w:cs="Arial"/>
          <w:sz w:val="20"/>
          <w:szCs w:val="20"/>
        </w:rPr>
      </w:pPr>
      <w:r w:rsidRPr="001A3A5F">
        <w:rPr>
          <w:rFonts w:ascii="Arial" w:hAnsi="Arial" w:cs="Arial"/>
          <w:sz w:val="20"/>
          <w:szCs w:val="20"/>
          <w:lang w:val="en-US"/>
        </w:rPr>
        <w:t xml:space="preserve">For RRC-based activation/deactivation, the </w:t>
      </w:r>
      <w:r w:rsidR="001D6F0B" w:rsidRPr="001A3A5F">
        <w:rPr>
          <w:rFonts w:ascii="Arial" w:hAnsi="Arial" w:cs="Arial"/>
          <w:sz w:val="20"/>
          <w:szCs w:val="20"/>
          <w:lang w:val="en-US"/>
        </w:rPr>
        <w:t xml:space="preserve">increase in complexity due to radio signaling is negligible. </w:t>
      </w:r>
    </w:p>
    <w:p w14:paraId="0D06CEE0" w14:textId="5504B6FE" w:rsidR="00882452" w:rsidRPr="001A3A5F" w:rsidRDefault="001D6F0B" w:rsidP="000021C9">
      <w:pPr>
        <w:pStyle w:val="ListParagraph"/>
        <w:numPr>
          <w:ilvl w:val="0"/>
          <w:numId w:val="38"/>
        </w:numPr>
        <w:jc w:val="both"/>
        <w:rPr>
          <w:rFonts w:ascii="Arial" w:hAnsi="Arial" w:cs="Arial"/>
          <w:sz w:val="20"/>
          <w:szCs w:val="20"/>
        </w:rPr>
      </w:pPr>
      <w:r w:rsidRPr="001A3A5F">
        <w:rPr>
          <w:rFonts w:ascii="Arial" w:hAnsi="Arial" w:cs="Arial"/>
          <w:sz w:val="20"/>
          <w:szCs w:val="20"/>
          <w:lang w:val="en-US"/>
        </w:rPr>
        <w:t xml:space="preserve">For DCI-based activation/deactivation, </w:t>
      </w:r>
      <w:r w:rsidR="007B2CF3" w:rsidRPr="001A3A5F">
        <w:rPr>
          <w:rFonts w:ascii="Arial" w:hAnsi="Arial" w:cs="Arial"/>
          <w:sz w:val="20"/>
          <w:szCs w:val="20"/>
          <w:lang w:val="en-US"/>
        </w:rPr>
        <w:t xml:space="preserve">the increase in complexity due to radio signaling will depend on the actual design of the DCI message. </w:t>
      </w:r>
      <w:r w:rsidR="00305DB8" w:rsidRPr="001A3A5F">
        <w:rPr>
          <w:rFonts w:ascii="Arial" w:hAnsi="Arial" w:cs="Arial"/>
          <w:sz w:val="20"/>
          <w:szCs w:val="20"/>
          <w:lang w:val="en-US"/>
        </w:rPr>
        <w:t>New DCI messages would have a big impact on UE and gNB implementation.</w:t>
      </w:r>
    </w:p>
    <w:p w14:paraId="30ECFEAC" w14:textId="232C1ADA" w:rsidR="00305DB8" w:rsidRPr="001A3A5F" w:rsidRDefault="001A3A5F" w:rsidP="000021C9">
      <w:pPr>
        <w:pStyle w:val="ListParagraph"/>
        <w:numPr>
          <w:ilvl w:val="0"/>
          <w:numId w:val="38"/>
        </w:numPr>
        <w:jc w:val="both"/>
        <w:rPr>
          <w:rFonts w:ascii="Arial" w:hAnsi="Arial" w:cs="Arial"/>
          <w:sz w:val="20"/>
          <w:szCs w:val="20"/>
        </w:rPr>
      </w:pPr>
      <w:r w:rsidRPr="001A3A5F">
        <w:rPr>
          <w:rFonts w:ascii="Arial" w:hAnsi="Arial" w:cs="Arial"/>
          <w:sz w:val="20"/>
          <w:szCs w:val="20"/>
          <w:lang w:val="en-US"/>
        </w:rPr>
        <w:t>The increase in complexity due to other factors than radio signaling is the same for both approaches.</w:t>
      </w:r>
    </w:p>
    <w:p w14:paraId="7002D788" w14:textId="578D2038" w:rsidR="001A3A5F" w:rsidRPr="000C728E" w:rsidRDefault="000021C9" w:rsidP="003E465D">
      <w:pPr>
        <w:pStyle w:val="Observation"/>
        <w:overflowPunct/>
        <w:autoSpaceDE/>
        <w:autoSpaceDN/>
        <w:adjustRightInd/>
        <w:spacing w:before="240" w:line="259" w:lineRule="auto"/>
        <w:textAlignment w:val="auto"/>
        <w:rPr>
          <w:rFonts w:cs="Arial"/>
          <w:szCs w:val="22"/>
          <w:lang w:val="en-US"/>
        </w:rPr>
      </w:pPr>
      <w:bookmarkStart w:id="20" w:name="_Toc7682871"/>
      <w:r>
        <w:rPr>
          <w:rFonts w:cs="Arial"/>
          <w:szCs w:val="22"/>
          <w:lang w:val="en-US"/>
        </w:rPr>
        <w:t>For certain</w:t>
      </w:r>
      <w:r w:rsidR="00484FFE">
        <w:rPr>
          <w:rFonts w:cs="Arial"/>
          <w:szCs w:val="22"/>
          <w:lang w:val="en-US"/>
        </w:rPr>
        <w:t xml:space="preserve"> designs (</w:t>
      </w:r>
      <w:r w:rsidR="00484FFE" w:rsidRPr="00E517B8">
        <w:rPr>
          <w:rFonts w:cs="Arial"/>
          <w:i/>
          <w:szCs w:val="22"/>
          <w:lang w:val="en-US"/>
        </w:rPr>
        <w:t>e.g</w:t>
      </w:r>
      <w:r w:rsidR="00484FFE">
        <w:rPr>
          <w:rFonts w:cs="Arial"/>
          <w:szCs w:val="22"/>
          <w:lang w:val="en-US"/>
        </w:rPr>
        <w:t>., with new DCI formats), t</w:t>
      </w:r>
      <w:r>
        <w:rPr>
          <w:rFonts w:cs="Arial"/>
          <w:szCs w:val="22"/>
          <w:lang w:val="en-US"/>
        </w:rPr>
        <w:t>he implementation complexity of DCI-based activation/deactivation</w:t>
      </w:r>
      <w:r w:rsidR="00484FFE">
        <w:rPr>
          <w:rFonts w:cs="Arial"/>
        </w:rPr>
        <w:t xml:space="preserve"> is significantly larger than that of RRC-based activation/deactivation.</w:t>
      </w:r>
      <w:bookmarkEnd w:id="20"/>
    </w:p>
    <w:p w14:paraId="6B378B0A" w14:textId="68A0E8A4" w:rsidR="003E465D" w:rsidRDefault="003E465D" w:rsidP="00464FF9">
      <w:pPr>
        <w:rPr>
          <w:rFonts w:ascii="Arial" w:hAnsi="Arial" w:cs="Arial"/>
          <w:szCs w:val="22"/>
        </w:rPr>
      </w:pPr>
      <w:r>
        <w:rPr>
          <w:rFonts w:ascii="Arial" w:hAnsi="Arial" w:cs="Arial"/>
          <w:szCs w:val="22"/>
        </w:rPr>
        <w:t>Regarding timing</w:t>
      </w:r>
      <w:r w:rsidR="00FB48F0">
        <w:rPr>
          <w:rFonts w:ascii="Arial" w:hAnsi="Arial" w:cs="Arial"/>
          <w:szCs w:val="22"/>
        </w:rPr>
        <w:t xml:space="preserve"> between the activation/deactivation message and the resource:</w:t>
      </w:r>
    </w:p>
    <w:p w14:paraId="0E53C9C9" w14:textId="77777777" w:rsidR="002C4809" w:rsidRPr="002C4809" w:rsidRDefault="00FB48F0" w:rsidP="00FB48F0">
      <w:pPr>
        <w:pStyle w:val="ListParagraph"/>
        <w:numPr>
          <w:ilvl w:val="0"/>
          <w:numId w:val="39"/>
        </w:numPr>
        <w:rPr>
          <w:rFonts w:ascii="Arial" w:hAnsi="Arial" w:cs="Arial"/>
          <w:sz w:val="20"/>
        </w:rPr>
      </w:pPr>
      <w:r w:rsidRPr="00FB48F0">
        <w:rPr>
          <w:rFonts w:ascii="Arial" w:hAnsi="Arial" w:cs="Arial"/>
          <w:sz w:val="20"/>
          <w:lang w:val="en-US"/>
        </w:rPr>
        <w:t>For DCI, the timing</w:t>
      </w:r>
      <w:r>
        <w:rPr>
          <w:rFonts w:ascii="Arial" w:hAnsi="Arial" w:cs="Arial"/>
          <w:sz w:val="20"/>
          <w:lang w:val="en-US"/>
        </w:rPr>
        <w:t xml:space="preserve"> </w:t>
      </w:r>
      <w:r w:rsidR="00B80ED3">
        <w:rPr>
          <w:rFonts w:ascii="Arial" w:hAnsi="Arial" w:cs="Arial"/>
          <w:sz w:val="20"/>
          <w:lang w:val="en-US"/>
        </w:rPr>
        <w:t>is</w:t>
      </w:r>
      <w:r w:rsidR="002C4809">
        <w:rPr>
          <w:rFonts w:ascii="Arial" w:hAnsi="Arial" w:cs="Arial"/>
          <w:sz w:val="20"/>
          <w:lang w:val="en-US"/>
        </w:rPr>
        <w:t xml:space="preserve"> given by the slot carrying DCI.</w:t>
      </w:r>
    </w:p>
    <w:p w14:paraId="2F83E202" w14:textId="006BC5DA" w:rsidR="002C4809" w:rsidRPr="002C4809" w:rsidRDefault="002C4809" w:rsidP="002C4809">
      <w:pPr>
        <w:pStyle w:val="ListParagraph"/>
        <w:numPr>
          <w:ilvl w:val="0"/>
          <w:numId w:val="39"/>
        </w:numPr>
        <w:rPr>
          <w:rFonts w:ascii="Arial" w:hAnsi="Arial" w:cs="Arial"/>
          <w:sz w:val="20"/>
        </w:rPr>
      </w:pPr>
      <w:r>
        <w:rPr>
          <w:rFonts w:ascii="Arial" w:hAnsi="Arial" w:cs="Arial"/>
          <w:sz w:val="20"/>
          <w:lang w:val="en-US"/>
        </w:rPr>
        <w:t>For RRC, deriving the timing directly from the slot carrying RRC is not desirable as ambiguities may appear. However, RRC can carry the necessary information (</w:t>
      </w:r>
      <w:r w:rsidRPr="00E517B8">
        <w:rPr>
          <w:rFonts w:ascii="Arial" w:hAnsi="Arial" w:cs="Arial"/>
          <w:i/>
          <w:sz w:val="20"/>
          <w:lang w:val="en-US"/>
        </w:rPr>
        <w:t>e.g</w:t>
      </w:r>
      <w:r>
        <w:rPr>
          <w:rFonts w:ascii="Arial" w:hAnsi="Arial" w:cs="Arial"/>
          <w:sz w:val="20"/>
          <w:lang w:val="en-US"/>
        </w:rPr>
        <w:t>., SFN).</w:t>
      </w:r>
      <w:r w:rsidR="00B80ED3">
        <w:rPr>
          <w:rFonts w:ascii="Arial" w:hAnsi="Arial" w:cs="Arial"/>
          <w:sz w:val="20"/>
          <w:lang w:val="en-US"/>
        </w:rPr>
        <w:t xml:space="preserve"> </w:t>
      </w:r>
    </w:p>
    <w:p w14:paraId="184665A9" w14:textId="75BA0B3E" w:rsidR="002C4809" w:rsidRPr="000C728E" w:rsidRDefault="007E680B" w:rsidP="002C4809">
      <w:pPr>
        <w:pStyle w:val="Observation"/>
        <w:overflowPunct/>
        <w:autoSpaceDE/>
        <w:autoSpaceDN/>
        <w:adjustRightInd/>
        <w:spacing w:before="240" w:line="259" w:lineRule="auto"/>
        <w:textAlignment w:val="auto"/>
        <w:rPr>
          <w:rFonts w:cs="Arial"/>
          <w:szCs w:val="22"/>
          <w:lang w:val="en-US"/>
        </w:rPr>
      </w:pPr>
      <w:r>
        <w:rPr>
          <w:rFonts w:cs="Arial"/>
          <w:szCs w:val="22"/>
          <w:lang w:val="en-US"/>
        </w:rPr>
        <w:t>Timing determination</w:t>
      </w:r>
      <w:r w:rsidR="00B750FD">
        <w:rPr>
          <w:rFonts w:cs="Arial"/>
          <w:szCs w:val="22"/>
          <w:lang w:val="en-US"/>
        </w:rPr>
        <w:t xml:space="preserve"> of the activat</w:t>
      </w:r>
      <w:r w:rsidR="00EA200B">
        <w:rPr>
          <w:rFonts w:cs="Arial"/>
          <w:szCs w:val="22"/>
          <w:lang w:val="en-US"/>
        </w:rPr>
        <w:t>ion/deactivation can be unambiguously determined for both DCI-based and RRC-based solutions.</w:t>
      </w:r>
    </w:p>
    <w:p w14:paraId="722D3B71" w14:textId="4CDDF266" w:rsidR="00457356" w:rsidRDefault="00457356" w:rsidP="000F599D">
      <w:pPr>
        <w:rPr>
          <w:rFonts w:ascii="Arial" w:hAnsi="Arial" w:cs="Arial"/>
          <w:szCs w:val="22"/>
        </w:rPr>
      </w:pPr>
      <w:r>
        <w:rPr>
          <w:rFonts w:ascii="Arial" w:hAnsi="Arial" w:cs="Arial"/>
          <w:szCs w:val="22"/>
        </w:rPr>
        <w:t>Finally, in terms of spec impact we do not foresee big differences between both options.</w:t>
      </w:r>
    </w:p>
    <w:p w14:paraId="087F015D" w14:textId="0517D379" w:rsidR="00457356" w:rsidRPr="000C728E" w:rsidRDefault="00457356" w:rsidP="00457356">
      <w:pPr>
        <w:pStyle w:val="Observation"/>
        <w:overflowPunct/>
        <w:autoSpaceDE/>
        <w:autoSpaceDN/>
        <w:adjustRightInd/>
        <w:spacing w:line="259" w:lineRule="auto"/>
        <w:textAlignment w:val="auto"/>
        <w:rPr>
          <w:rFonts w:cs="Arial"/>
          <w:szCs w:val="22"/>
          <w:lang w:val="en-US"/>
        </w:rPr>
      </w:pPr>
      <w:bookmarkStart w:id="21" w:name="_Toc7682872"/>
      <w:r>
        <w:rPr>
          <w:rFonts w:cs="Arial"/>
          <w:szCs w:val="22"/>
          <w:lang w:val="en-US"/>
        </w:rPr>
        <w:t xml:space="preserve">Similar spec impact is expected for </w:t>
      </w:r>
      <w:r w:rsidR="009C6FA1">
        <w:rPr>
          <w:rFonts w:cs="Arial"/>
          <w:szCs w:val="22"/>
          <w:lang w:val="en-US"/>
        </w:rPr>
        <w:t>both options</w:t>
      </w:r>
      <w:r>
        <w:rPr>
          <w:rFonts w:cs="Arial"/>
        </w:rPr>
        <w:t>.</w:t>
      </w:r>
      <w:bookmarkEnd w:id="21"/>
    </w:p>
    <w:p w14:paraId="287EDA31" w14:textId="7573AFD4" w:rsidR="00464FF9" w:rsidRPr="000C728E" w:rsidRDefault="00464FF9" w:rsidP="00464FF9">
      <w:pPr>
        <w:rPr>
          <w:rFonts w:ascii="Arial" w:hAnsi="Arial" w:cs="Arial"/>
          <w:szCs w:val="22"/>
        </w:rPr>
      </w:pPr>
      <w:r w:rsidRPr="000C728E">
        <w:rPr>
          <w:rFonts w:ascii="Arial" w:hAnsi="Arial" w:cs="Arial"/>
          <w:szCs w:val="22"/>
        </w:rPr>
        <w:t>Based on the above observation, we propose the following:</w:t>
      </w:r>
    </w:p>
    <w:p w14:paraId="25853F27" w14:textId="77777777" w:rsidR="00464FF9" w:rsidRPr="000C728E" w:rsidRDefault="00464FF9" w:rsidP="00464FF9">
      <w:pPr>
        <w:pStyle w:val="Proposal"/>
        <w:rPr>
          <w:rFonts w:cs="Arial"/>
          <w:szCs w:val="22"/>
        </w:rPr>
      </w:pPr>
      <w:bookmarkStart w:id="22" w:name="_Toc4594334"/>
      <w:bookmarkStart w:id="23" w:name="_Toc4594353"/>
      <w:bookmarkStart w:id="24" w:name="_Toc4594365"/>
      <w:bookmarkStart w:id="25" w:name="_Toc4594393"/>
      <w:bookmarkStart w:id="26" w:name="_Toc4595357"/>
      <w:bookmarkStart w:id="27" w:name="_Toc5057345"/>
      <w:bookmarkStart w:id="28" w:name="_Toc7682874"/>
      <w:bookmarkEnd w:id="22"/>
      <w:bookmarkEnd w:id="23"/>
      <w:bookmarkEnd w:id="24"/>
      <w:bookmarkEnd w:id="25"/>
      <w:bookmarkEnd w:id="26"/>
      <w:bookmarkEnd w:id="27"/>
      <w:r>
        <w:rPr>
          <w:rFonts w:cs="Arial"/>
          <w:szCs w:val="22"/>
        </w:rPr>
        <w:t>For scheduling LTE SL UEs, the gNB uses RRC messages to deliver</w:t>
      </w:r>
      <w:r w:rsidRPr="00512794">
        <w:rPr>
          <w:rFonts w:cs="Arial"/>
          <w:szCs w:val="22"/>
        </w:rPr>
        <w:t xml:space="preserve"> the SPS grant configuration</w:t>
      </w:r>
      <w:r>
        <w:rPr>
          <w:rFonts w:cs="Arial"/>
          <w:szCs w:val="22"/>
        </w:rPr>
        <w:t>, activate the SPS grant, and to</w:t>
      </w:r>
      <w:r w:rsidRPr="00512794">
        <w:rPr>
          <w:rFonts w:cs="Arial"/>
          <w:szCs w:val="22"/>
        </w:rPr>
        <w:t xml:space="preserve"> release the SPS configuration</w:t>
      </w:r>
      <w:r>
        <w:rPr>
          <w:rFonts w:cs="Arial"/>
          <w:szCs w:val="22"/>
        </w:rPr>
        <w:t>. Details are up to RAN2.</w:t>
      </w:r>
      <w:bookmarkEnd w:id="28"/>
    </w:p>
    <w:p w14:paraId="03D47B3C" w14:textId="77777777" w:rsidR="00464FF9" w:rsidRDefault="00464FF9" w:rsidP="00464FF9">
      <w:pPr>
        <w:pStyle w:val="Heading1"/>
      </w:pPr>
      <w:r w:rsidRPr="000C728E">
        <w:t>3</w:t>
      </w:r>
      <w:r>
        <w:tab/>
        <w:t>NR Uu configuring LTE mode-4 UEs</w:t>
      </w:r>
    </w:p>
    <w:p w14:paraId="09886BE4" w14:textId="77777777" w:rsidR="00464FF9" w:rsidRPr="009C1722" w:rsidRDefault="00464FF9" w:rsidP="00464FF9">
      <w:pPr>
        <w:jc w:val="both"/>
        <w:rPr>
          <w:rFonts w:ascii="Arial" w:hAnsi="Arial" w:cs="Arial"/>
          <w:szCs w:val="22"/>
        </w:rPr>
      </w:pPr>
      <w:r w:rsidRPr="000C728E">
        <w:rPr>
          <w:rFonts w:ascii="Arial" w:hAnsi="Arial" w:cs="Arial"/>
          <w:szCs w:val="22"/>
        </w:rPr>
        <w:t>In LTE Mode 4, the eNB provides configuration through RRC or SIB and resource allocation is performed autonomously by the UE.</w:t>
      </w:r>
    </w:p>
    <w:p w14:paraId="519FBB0E" w14:textId="77777777" w:rsidR="00464FF9" w:rsidRPr="000C728E" w:rsidRDefault="00464FF9" w:rsidP="00464FF9">
      <w:pPr>
        <w:jc w:val="both"/>
        <w:rPr>
          <w:szCs w:val="22"/>
          <w:lang w:val="en-US"/>
        </w:rPr>
      </w:pPr>
      <w:r w:rsidRPr="000C728E">
        <w:rPr>
          <w:rFonts w:ascii="Arial" w:hAnsi="Arial" w:cs="Arial"/>
          <w:szCs w:val="22"/>
        </w:rPr>
        <w:t xml:space="preserve">In </w:t>
      </w:r>
      <w:r w:rsidRPr="000C728E">
        <w:rPr>
          <w:rFonts w:ascii="Arial" w:hAnsi="Arial" w:cs="Arial"/>
          <w:szCs w:val="22"/>
          <w:lang w:val="en-US" w:eastAsia="zh-CN"/>
        </w:rPr>
        <w:t xml:space="preserve">RAN1#ah1901, it has been agreed that NR Uu, similarly to LTE Uu, provides configurations to LTE mode-4 sidelink through RRC or SIB signalling. From RAN1 perspective, signaling should be </w:t>
      </w:r>
      <w:proofErr w:type="gramStart"/>
      <w:r w:rsidRPr="000C728E">
        <w:rPr>
          <w:rFonts w:ascii="Arial" w:hAnsi="Arial" w:cs="Arial"/>
          <w:szCs w:val="22"/>
          <w:lang w:val="en-US" w:eastAsia="zh-CN"/>
        </w:rPr>
        <w:t>similar to</w:t>
      </w:r>
      <w:proofErr w:type="gramEnd"/>
      <w:r w:rsidRPr="000C728E">
        <w:rPr>
          <w:rFonts w:ascii="Arial" w:hAnsi="Arial" w:cs="Arial"/>
          <w:szCs w:val="22"/>
          <w:lang w:val="en-US" w:eastAsia="zh-CN"/>
        </w:rPr>
        <w:t xml:space="preserve"> LTE in terms of UE-specific or cell-specific. Signalling details are decided up to RAN2.</w:t>
      </w:r>
    </w:p>
    <w:p w14:paraId="77D7EEE2" w14:textId="77777777" w:rsidR="00464FF9" w:rsidRPr="000C728E" w:rsidRDefault="00464FF9" w:rsidP="00464FF9">
      <w:pPr>
        <w:pStyle w:val="Observation"/>
        <w:rPr>
          <w:szCs w:val="22"/>
          <w:lang w:val="en-US"/>
        </w:rPr>
      </w:pPr>
      <w:bookmarkStart w:id="29" w:name="_Toc7682873"/>
      <w:r w:rsidRPr="009C1722">
        <w:rPr>
          <w:szCs w:val="22"/>
          <w:lang w:val="en-US"/>
        </w:rPr>
        <w:t>NR Uu provides configurations to LTE mode-4 UEs through RRC signaling or SIB signaling.</w:t>
      </w:r>
      <w:r w:rsidRPr="000C728E">
        <w:rPr>
          <w:szCs w:val="22"/>
          <w:lang w:val="en-US"/>
        </w:rPr>
        <w:t xml:space="preserve"> Details are up to RAN2.</w:t>
      </w:r>
      <w:bookmarkEnd w:id="29"/>
    </w:p>
    <w:p w14:paraId="31F45C66" w14:textId="77777777" w:rsidR="00464FF9" w:rsidRPr="00CE0424" w:rsidRDefault="00464FF9" w:rsidP="00464FF9">
      <w:pPr>
        <w:pStyle w:val="Heading1"/>
      </w:pPr>
      <w:r>
        <w:t>4</w:t>
      </w:r>
      <w:r>
        <w:tab/>
      </w:r>
      <w:r w:rsidRPr="00CE0424">
        <w:t>Conclusion</w:t>
      </w:r>
    </w:p>
    <w:p w14:paraId="0689781F" w14:textId="77777777" w:rsidR="00464FF9" w:rsidRDefault="00464FF9" w:rsidP="00464FF9">
      <w:pPr>
        <w:pStyle w:val="BodyText"/>
        <w:rPr>
          <w:b/>
          <w:bCs/>
        </w:rPr>
      </w:pPr>
      <w:r>
        <w:t>In the previous sections</w:t>
      </w:r>
      <w:r w:rsidRPr="00CE0424">
        <w:t xml:space="preserve"> we </w:t>
      </w:r>
      <w:r>
        <w:t>made the following observations</w:t>
      </w:r>
      <w:r w:rsidRPr="00CE0424">
        <w:t>:</w:t>
      </w:r>
      <w:r>
        <w:rPr>
          <w:b/>
          <w:bCs/>
        </w:rPr>
        <w:t xml:space="preserve"> </w:t>
      </w:r>
    </w:p>
    <w:p w14:paraId="3E15085B" w14:textId="0AFC5CB9" w:rsidR="00E81FA0" w:rsidRDefault="00464FF9">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7682869" w:history="1">
        <w:r w:rsidR="00E81FA0" w:rsidRPr="00E23129">
          <w:rPr>
            <w:rStyle w:val="Hyperlink"/>
            <w:rFonts w:cs="Arial"/>
            <w:noProof/>
            <w:lang w:val="en-US"/>
          </w:rPr>
          <w:t>Observation 1</w:t>
        </w:r>
        <w:r w:rsidR="00E81FA0">
          <w:rPr>
            <w:rFonts w:asciiTheme="minorHAnsi" w:eastAsiaTheme="minorEastAsia" w:hAnsiTheme="minorHAnsi" w:cstheme="minorBidi"/>
            <w:b w:val="0"/>
            <w:noProof/>
            <w:sz w:val="22"/>
            <w:szCs w:val="22"/>
            <w:lang w:val="fi-FI" w:eastAsia="fi-FI"/>
          </w:rPr>
          <w:tab/>
        </w:r>
        <w:r w:rsidR="00E81FA0" w:rsidRPr="00E23129">
          <w:rPr>
            <w:rStyle w:val="Hyperlink"/>
            <w:rFonts w:cs="Arial"/>
            <w:noProof/>
            <w:lang w:val="en-US"/>
          </w:rPr>
          <w:t xml:space="preserve">RAN1 observed during the SI that DCI-based scheduling was not feasible for some UE designs due to intra-device signaling delay. The same delay is expected for </w:t>
        </w:r>
        <w:r w:rsidR="00E81FA0" w:rsidRPr="00E23129">
          <w:rPr>
            <w:rStyle w:val="Hyperlink"/>
            <w:rFonts w:cs="Arial"/>
            <w:noProof/>
          </w:rPr>
          <w:t>DCI-based activation/deactivation of SPS grants.</w:t>
        </w:r>
      </w:hyperlink>
    </w:p>
    <w:p w14:paraId="47EE72AF" w14:textId="0DE5B821" w:rsidR="00E81FA0" w:rsidRDefault="000D79F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682870" w:history="1">
        <w:r w:rsidR="00E81FA0" w:rsidRPr="00E23129">
          <w:rPr>
            <w:rStyle w:val="Hyperlink"/>
            <w:rFonts w:cs="Arial"/>
            <w:noProof/>
            <w:lang w:val="en-US"/>
          </w:rPr>
          <w:t>Observation 2</w:t>
        </w:r>
        <w:r w:rsidR="00E81FA0">
          <w:rPr>
            <w:rFonts w:asciiTheme="minorHAnsi" w:eastAsiaTheme="minorEastAsia" w:hAnsiTheme="minorHAnsi" w:cstheme="minorBidi"/>
            <w:b w:val="0"/>
            <w:noProof/>
            <w:sz w:val="22"/>
            <w:szCs w:val="22"/>
            <w:lang w:val="fi-FI" w:eastAsia="fi-FI"/>
          </w:rPr>
          <w:tab/>
        </w:r>
        <w:r w:rsidR="00E81FA0" w:rsidRPr="00E23129">
          <w:rPr>
            <w:rStyle w:val="Hyperlink"/>
            <w:rFonts w:cs="Arial"/>
            <w:noProof/>
            <w:lang w:val="en-US"/>
          </w:rPr>
          <w:t>NR Uu meets the latency and reliability requirements for controlling LTE Mode-3 UEs with RRC messages. In some regards, NR Uu control of LTE Mode-3 UEs improves upon LTE Uu control of LTE Mode-3 UEs.</w:t>
        </w:r>
      </w:hyperlink>
    </w:p>
    <w:p w14:paraId="21B2856F" w14:textId="57CB2074" w:rsidR="00E81FA0" w:rsidRDefault="000D79F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682871" w:history="1">
        <w:r w:rsidR="00E81FA0" w:rsidRPr="00E23129">
          <w:rPr>
            <w:rStyle w:val="Hyperlink"/>
            <w:rFonts w:cs="Arial"/>
            <w:noProof/>
            <w:lang w:val="en-US"/>
          </w:rPr>
          <w:t>Observation 3</w:t>
        </w:r>
        <w:r w:rsidR="00E81FA0">
          <w:rPr>
            <w:rFonts w:asciiTheme="minorHAnsi" w:eastAsiaTheme="minorEastAsia" w:hAnsiTheme="minorHAnsi" w:cstheme="minorBidi"/>
            <w:b w:val="0"/>
            <w:noProof/>
            <w:sz w:val="22"/>
            <w:szCs w:val="22"/>
            <w:lang w:val="fi-FI" w:eastAsia="fi-FI"/>
          </w:rPr>
          <w:tab/>
        </w:r>
        <w:r w:rsidR="00E81FA0" w:rsidRPr="00E23129">
          <w:rPr>
            <w:rStyle w:val="Hyperlink"/>
            <w:rFonts w:cs="Arial"/>
            <w:noProof/>
            <w:lang w:val="en-US"/>
          </w:rPr>
          <w:t>For certain designs (e.g., with new DCI formats), the implementation complexity of DCI-based activation/deactivation</w:t>
        </w:r>
        <w:r w:rsidR="00E81FA0" w:rsidRPr="00E23129">
          <w:rPr>
            <w:rStyle w:val="Hyperlink"/>
            <w:rFonts w:cs="Arial"/>
            <w:noProof/>
          </w:rPr>
          <w:t xml:space="preserve"> is significantly larger than that of RRC-based activation/deactivation.</w:t>
        </w:r>
      </w:hyperlink>
    </w:p>
    <w:p w14:paraId="58B5AF57" w14:textId="3B4A8CF9" w:rsidR="00E81FA0" w:rsidRDefault="000D79F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682872" w:history="1">
        <w:r w:rsidR="00E81FA0" w:rsidRPr="00E23129">
          <w:rPr>
            <w:rStyle w:val="Hyperlink"/>
            <w:rFonts w:cs="Arial"/>
            <w:noProof/>
            <w:lang w:val="en-US"/>
          </w:rPr>
          <w:t>Observation 4</w:t>
        </w:r>
        <w:r w:rsidR="00E81FA0">
          <w:rPr>
            <w:rFonts w:asciiTheme="minorHAnsi" w:eastAsiaTheme="minorEastAsia" w:hAnsiTheme="minorHAnsi" w:cstheme="minorBidi"/>
            <w:b w:val="0"/>
            <w:noProof/>
            <w:sz w:val="22"/>
            <w:szCs w:val="22"/>
            <w:lang w:val="fi-FI" w:eastAsia="fi-FI"/>
          </w:rPr>
          <w:tab/>
        </w:r>
        <w:r w:rsidR="00E81FA0" w:rsidRPr="00E23129">
          <w:rPr>
            <w:rStyle w:val="Hyperlink"/>
            <w:rFonts w:cs="Arial"/>
            <w:noProof/>
            <w:lang w:val="en-US"/>
          </w:rPr>
          <w:t>Similar spec impact is expected for both options</w:t>
        </w:r>
        <w:r w:rsidR="00E81FA0" w:rsidRPr="00E23129">
          <w:rPr>
            <w:rStyle w:val="Hyperlink"/>
            <w:rFonts w:cs="Arial"/>
            <w:noProof/>
          </w:rPr>
          <w:t>.</w:t>
        </w:r>
      </w:hyperlink>
    </w:p>
    <w:p w14:paraId="4D148967" w14:textId="75E50C25" w:rsidR="00E81FA0" w:rsidRDefault="000D79F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682873" w:history="1">
        <w:r w:rsidR="00E81FA0" w:rsidRPr="00E23129">
          <w:rPr>
            <w:rStyle w:val="Hyperlink"/>
            <w:noProof/>
            <w:lang w:val="en-US"/>
          </w:rPr>
          <w:t>Observation 5</w:t>
        </w:r>
        <w:r w:rsidR="00E81FA0">
          <w:rPr>
            <w:rFonts w:asciiTheme="minorHAnsi" w:eastAsiaTheme="minorEastAsia" w:hAnsiTheme="minorHAnsi" w:cstheme="minorBidi"/>
            <w:b w:val="0"/>
            <w:noProof/>
            <w:sz w:val="22"/>
            <w:szCs w:val="22"/>
            <w:lang w:val="fi-FI" w:eastAsia="fi-FI"/>
          </w:rPr>
          <w:tab/>
        </w:r>
        <w:r w:rsidR="00E81FA0" w:rsidRPr="00E23129">
          <w:rPr>
            <w:rStyle w:val="Hyperlink"/>
            <w:noProof/>
            <w:lang w:val="en-US"/>
          </w:rPr>
          <w:t>NR Uu provides configurations to LTE mode-4 UEs through RRC signaling or SIB signaling. Details are up to RAN2.</w:t>
        </w:r>
      </w:hyperlink>
    </w:p>
    <w:p w14:paraId="069FB070" w14:textId="040139DA" w:rsidR="00464FF9" w:rsidRDefault="00464FF9" w:rsidP="00464FF9">
      <w:pPr>
        <w:pStyle w:val="BodyText"/>
      </w:pPr>
      <w:r>
        <w:rPr>
          <w:b/>
          <w:bCs/>
        </w:rPr>
        <w:lastRenderedPageBreak/>
        <w:fldChar w:fldCharType="end"/>
      </w:r>
      <w:r w:rsidRPr="00CE0424">
        <w:t xml:space="preserve">Based on the discussion in </w:t>
      </w:r>
      <w:r>
        <w:t xml:space="preserve">the previous </w:t>
      </w:r>
      <w:r w:rsidRPr="00CE0424">
        <w:t>section</w:t>
      </w:r>
      <w:r>
        <w:t>s</w:t>
      </w:r>
      <w:r w:rsidRPr="00CE0424">
        <w:t xml:space="preserve"> we propose the following:</w:t>
      </w:r>
    </w:p>
    <w:p w14:paraId="7D32833B" w14:textId="04587539" w:rsidR="00E81FA0" w:rsidRDefault="00464FF9">
      <w:pPr>
        <w:pStyle w:val="TableofFigures"/>
        <w:tabs>
          <w:tab w:val="right" w:leader="dot" w:pos="9629"/>
        </w:tabs>
        <w:rPr>
          <w:rFonts w:asciiTheme="minorHAnsi" w:eastAsiaTheme="minorEastAsia" w:hAnsiTheme="minorHAnsi" w:cstheme="minorBidi"/>
          <w:b w:val="0"/>
          <w:noProof/>
          <w:sz w:val="22"/>
          <w:szCs w:val="22"/>
          <w:lang w:val="fi-FI" w:eastAsia="fi-FI"/>
        </w:rPr>
      </w:pPr>
      <w:r w:rsidRPr="009C1722">
        <w:rPr>
          <w:b w:val="0"/>
          <w:bCs/>
          <w:lang w:val="en-US"/>
        </w:rPr>
        <w:fldChar w:fldCharType="begin"/>
      </w:r>
      <w:r w:rsidRPr="00485BC4">
        <w:rPr>
          <w:b w:val="0"/>
          <w:bCs/>
          <w:lang w:val="en-US"/>
        </w:rPr>
        <w:instrText xml:space="preserve"> TOC \n \h \z \t "Proposal" \c </w:instrText>
      </w:r>
      <w:r w:rsidRPr="009C1722">
        <w:rPr>
          <w:b w:val="0"/>
          <w:lang w:val="en-US"/>
        </w:rPr>
        <w:fldChar w:fldCharType="separate"/>
      </w:r>
      <w:hyperlink w:anchor="_Toc7682874" w:history="1">
        <w:r w:rsidR="00E81FA0" w:rsidRPr="0019159B">
          <w:rPr>
            <w:rStyle w:val="Hyperlink"/>
            <w:rFonts w:cs="Arial"/>
            <w:noProof/>
          </w:rPr>
          <w:t>Proposal 1</w:t>
        </w:r>
        <w:r w:rsidR="00E81FA0">
          <w:rPr>
            <w:rFonts w:asciiTheme="minorHAnsi" w:eastAsiaTheme="minorEastAsia" w:hAnsiTheme="minorHAnsi" w:cstheme="minorBidi"/>
            <w:b w:val="0"/>
            <w:noProof/>
            <w:sz w:val="22"/>
            <w:szCs w:val="22"/>
            <w:lang w:val="fi-FI" w:eastAsia="fi-FI"/>
          </w:rPr>
          <w:tab/>
        </w:r>
        <w:r w:rsidR="00E81FA0" w:rsidRPr="0019159B">
          <w:rPr>
            <w:rStyle w:val="Hyperlink"/>
            <w:rFonts w:cs="Arial"/>
            <w:noProof/>
          </w:rPr>
          <w:t>For scheduling LTE SL UEs, the gNB uses RRC messages to deliver the SPS grant configuration, activate the SPS grant, and to release the SPS configuration. Details are up to RAN2.</w:t>
        </w:r>
      </w:hyperlink>
    </w:p>
    <w:p w14:paraId="3ADBF774" w14:textId="4494028C" w:rsidR="00464FF9" w:rsidRPr="00CE0424" w:rsidRDefault="00464FF9" w:rsidP="00464FF9">
      <w:pPr>
        <w:pStyle w:val="Heading1"/>
      </w:pPr>
      <w:r w:rsidRPr="009C1722">
        <w:rPr>
          <w:b/>
          <w:bCs/>
          <w:lang w:val="en-US"/>
        </w:rPr>
        <w:fldChar w:fldCharType="end"/>
      </w:r>
      <w:bookmarkStart w:id="30" w:name="_In-sequence_SDU_delivery"/>
      <w:bookmarkEnd w:id="30"/>
      <w:r w:rsidRPr="00F53300">
        <w:rPr>
          <w:bCs/>
          <w:lang w:val="en-US"/>
        </w:rPr>
        <w:t>5</w:t>
      </w:r>
      <w:r>
        <w:rPr>
          <w:b/>
          <w:bCs/>
          <w:lang w:val="en-US"/>
        </w:rPr>
        <w:tab/>
      </w:r>
      <w:r w:rsidRPr="00CE0424">
        <w:t>References</w:t>
      </w:r>
    </w:p>
    <w:p w14:paraId="23B0DDA8" w14:textId="77777777" w:rsidR="00464FF9" w:rsidRPr="00CE0424" w:rsidRDefault="00464FF9" w:rsidP="00464FF9">
      <w:pPr>
        <w:pStyle w:val="Reference"/>
      </w:pPr>
      <w:bookmarkStart w:id="31" w:name="_Ref4595486"/>
      <w:bookmarkStart w:id="32" w:name="_Ref4489634"/>
      <w:bookmarkStart w:id="33" w:name="_Ref174151459"/>
      <w:bookmarkStart w:id="34" w:name="_Ref189809556"/>
      <w:r w:rsidRPr="006F377D">
        <w:t>RP-190766</w:t>
      </w:r>
      <w:r>
        <w:t>, “</w:t>
      </w:r>
      <w:r w:rsidRPr="00EB0370">
        <w:t>5G V2X with NR sidelink</w:t>
      </w:r>
      <w:r>
        <w:t>,” LGE, Huawei, RAN#83, March 2019.</w:t>
      </w:r>
      <w:bookmarkEnd w:id="31"/>
      <w:bookmarkEnd w:id="32"/>
      <w:bookmarkEnd w:id="33"/>
      <w:bookmarkEnd w:id="34"/>
    </w:p>
    <w:p w14:paraId="0034D3CC" w14:textId="77777777" w:rsidR="003A7EF3" w:rsidRPr="00CE6E0D" w:rsidRDefault="003A7EF3" w:rsidP="00464FF9">
      <w:pPr>
        <w:pStyle w:val="Heading1"/>
      </w:pPr>
    </w:p>
    <w:sectPr w:rsidR="003A7EF3" w:rsidRPr="00CE6E0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7015D" w14:textId="77777777" w:rsidR="000D79F8" w:rsidRDefault="000D79F8">
      <w:r>
        <w:separator/>
      </w:r>
    </w:p>
  </w:endnote>
  <w:endnote w:type="continuationSeparator" w:id="0">
    <w:p w14:paraId="20D3E994" w14:textId="77777777" w:rsidR="000D79F8" w:rsidRDefault="000D79F8">
      <w:r>
        <w:continuationSeparator/>
      </w:r>
    </w:p>
  </w:endnote>
  <w:endnote w:type="continuationNotice" w:id="1">
    <w:p w14:paraId="3518C3FD" w14:textId="77777777" w:rsidR="000D79F8" w:rsidRDefault="000D79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6C9D7" w14:textId="77777777" w:rsidR="000D79F8" w:rsidRDefault="000D79F8">
      <w:r>
        <w:separator/>
      </w:r>
    </w:p>
  </w:footnote>
  <w:footnote w:type="continuationSeparator" w:id="0">
    <w:p w14:paraId="3F99E507" w14:textId="77777777" w:rsidR="000D79F8" w:rsidRDefault="000D79F8">
      <w:r>
        <w:continuationSeparator/>
      </w:r>
    </w:p>
  </w:footnote>
  <w:footnote w:type="continuationNotice" w:id="1">
    <w:p w14:paraId="6A038752" w14:textId="77777777" w:rsidR="000D79F8" w:rsidRDefault="000D79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E6D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5EEA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0424CA"/>
    <w:multiLevelType w:val="hybridMultilevel"/>
    <w:tmpl w:val="4A40CB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F63D37"/>
    <w:multiLevelType w:val="hybridMultilevel"/>
    <w:tmpl w:val="36F80F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D631FEC"/>
    <w:multiLevelType w:val="hybridMultilevel"/>
    <w:tmpl w:val="A6ACAB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20"/>
  </w:num>
  <w:num w:numId="4">
    <w:abstractNumId w:val="21"/>
  </w:num>
  <w:num w:numId="5">
    <w:abstractNumId w:val="17"/>
  </w:num>
  <w:num w:numId="6">
    <w:abstractNumId w:val="23"/>
  </w:num>
  <w:num w:numId="7">
    <w:abstractNumId w:val="28"/>
  </w:num>
  <w:num w:numId="8">
    <w:abstractNumId w:val="18"/>
  </w:num>
  <w:num w:numId="9">
    <w:abstractNumId w:val="14"/>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30"/>
  </w:num>
  <w:num w:numId="17">
    <w:abstractNumId w:val="10"/>
  </w:num>
  <w:num w:numId="18">
    <w:abstractNumId w:val="12"/>
  </w:num>
  <w:num w:numId="19">
    <w:abstractNumId w:val="5"/>
  </w:num>
  <w:num w:numId="20">
    <w:abstractNumId w:val="36"/>
  </w:num>
  <w:num w:numId="21">
    <w:abstractNumId w:val="19"/>
  </w:num>
  <w:num w:numId="22">
    <w:abstractNumId w:val="33"/>
  </w:num>
  <w:num w:numId="23">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6"/>
  </w:num>
  <w:num w:numId="26">
    <w:abstractNumId w:val="9"/>
  </w:num>
  <w:num w:numId="27">
    <w:abstractNumId w:val="32"/>
  </w:num>
  <w:num w:numId="28">
    <w:abstractNumId w:val="29"/>
  </w:num>
  <w:num w:numId="29">
    <w:abstractNumId w:val="8"/>
  </w:num>
  <w:num w:numId="30">
    <w:abstractNumId w:val="15"/>
  </w:num>
  <w:num w:numId="31">
    <w:abstractNumId w:val="25"/>
  </w:num>
  <w:num w:numId="32">
    <w:abstractNumId w:val="35"/>
  </w:num>
  <w:num w:numId="33">
    <w:abstractNumId w:val="11"/>
  </w:num>
  <w:num w:numId="34">
    <w:abstractNumId w:val="37"/>
  </w:num>
  <w:num w:numId="35">
    <w:abstractNumId w:val="31"/>
  </w:num>
  <w:num w:numId="36">
    <w:abstractNumId w:val="38"/>
  </w:num>
  <w:num w:numId="37">
    <w:abstractNumId w:val="4"/>
  </w:num>
  <w:num w:numId="38">
    <w:abstractNumId w:val="7"/>
  </w:num>
  <w:num w:numId="3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1C9"/>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9F8"/>
    <w:rsid w:val="000E0527"/>
    <w:rsid w:val="000E1E92"/>
    <w:rsid w:val="000F06D6"/>
    <w:rsid w:val="000F0EB1"/>
    <w:rsid w:val="000F1106"/>
    <w:rsid w:val="000F3BE9"/>
    <w:rsid w:val="000F3F6C"/>
    <w:rsid w:val="000F599D"/>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73F"/>
    <w:rsid w:val="00181FF8"/>
    <w:rsid w:val="00190AC1"/>
    <w:rsid w:val="0019341A"/>
    <w:rsid w:val="00196B29"/>
    <w:rsid w:val="00197DF9"/>
    <w:rsid w:val="001A1987"/>
    <w:rsid w:val="001A2564"/>
    <w:rsid w:val="001A3A5F"/>
    <w:rsid w:val="001A5377"/>
    <w:rsid w:val="001A6173"/>
    <w:rsid w:val="001A6CBA"/>
    <w:rsid w:val="001B0D97"/>
    <w:rsid w:val="001B3013"/>
    <w:rsid w:val="001B5A5D"/>
    <w:rsid w:val="001C1CE5"/>
    <w:rsid w:val="001C25A6"/>
    <w:rsid w:val="001C3D2A"/>
    <w:rsid w:val="001C61EF"/>
    <w:rsid w:val="001D51BA"/>
    <w:rsid w:val="001D53E7"/>
    <w:rsid w:val="001D6342"/>
    <w:rsid w:val="001D6D53"/>
    <w:rsid w:val="001D6F0B"/>
    <w:rsid w:val="001E3D51"/>
    <w:rsid w:val="001E58E2"/>
    <w:rsid w:val="001E7AED"/>
    <w:rsid w:val="001F27BA"/>
    <w:rsid w:val="001F3916"/>
    <w:rsid w:val="001F54C5"/>
    <w:rsid w:val="001F662C"/>
    <w:rsid w:val="001F6807"/>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ABF"/>
    <w:rsid w:val="00230D18"/>
    <w:rsid w:val="002319E4"/>
    <w:rsid w:val="00235632"/>
    <w:rsid w:val="00235872"/>
    <w:rsid w:val="002377D1"/>
    <w:rsid w:val="00241015"/>
    <w:rsid w:val="00241559"/>
    <w:rsid w:val="002435B3"/>
    <w:rsid w:val="002458EB"/>
    <w:rsid w:val="00246157"/>
    <w:rsid w:val="00246D8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0B0"/>
    <w:rsid w:val="0028280A"/>
    <w:rsid w:val="00286ACD"/>
    <w:rsid w:val="00287838"/>
    <w:rsid w:val="002907B5"/>
    <w:rsid w:val="00292EB7"/>
    <w:rsid w:val="00296227"/>
    <w:rsid w:val="00296F44"/>
    <w:rsid w:val="0029777D"/>
    <w:rsid w:val="002A055E"/>
    <w:rsid w:val="002A1D4E"/>
    <w:rsid w:val="002A2869"/>
    <w:rsid w:val="002B24D6"/>
    <w:rsid w:val="002C41E6"/>
    <w:rsid w:val="002C4809"/>
    <w:rsid w:val="002D071A"/>
    <w:rsid w:val="002D34B2"/>
    <w:rsid w:val="002D48B0"/>
    <w:rsid w:val="002D4FC2"/>
    <w:rsid w:val="002D5B37"/>
    <w:rsid w:val="002D7637"/>
    <w:rsid w:val="002E17F2"/>
    <w:rsid w:val="002E7CAE"/>
    <w:rsid w:val="002F2771"/>
    <w:rsid w:val="002F37A9"/>
    <w:rsid w:val="00301CE6"/>
    <w:rsid w:val="0030256B"/>
    <w:rsid w:val="0030501F"/>
    <w:rsid w:val="00305DB8"/>
    <w:rsid w:val="00307BA1"/>
    <w:rsid w:val="00311702"/>
    <w:rsid w:val="00311E82"/>
    <w:rsid w:val="00313FD6"/>
    <w:rsid w:val="003143BD"/>
    <w:rsid w:val="00315363"/>
    <w:rsid w:val="003203ED"/>
    <w:rsid w:val="00322C9F"/>
    <w:rsid w:val="00324D23"/>
    <w:rsid w:val="00330E77"/>
    <w:rsid w:val="00331751"/>
    <w:rsid w:val="00334579"/>
    <w:rsid w:val="00335858"/>
    <w:rsid w:val="00336BDA"/>
    <w:rsid w:val="00342BD7"/>
    <w:rsid w:val="00346DB5"/>
    <w:rsid w:val="003477B1"/>
    <w:rsid w:val="00357380"/>
    <w:rsid w:val="003602D9"/>
    <w:rsid w:val="003604CE"/>
    <w:rsid w:val="00370E47"/>
    <w:rsid w:val="003742AC"/>
    <w:rsid w:val="00376B01"/>
    <w:rsid w:val="00377CE1"/>
    <w:rsid w:val="00385BF0"/>
    <w:rsid w:val="003939FF"/>
    <w:rsid w:val="00395DA2"/>
    <w:rsid w:val="003A2223"/>
    <w:rsid w:val="003A2A0F"/>
    <w:rsid w:val="003A45A1"/>
    <w:rsid w:val="003A5B0A"/>
    <w:rsid w:val="003A6BAC"/>
    <w:rsid w:val="003A70A4"/>
    <w:rsid w:val="003A7EF3"/>
    <w:rsid w:val="003B159C"/>
    <w:rsid w:val="003B163E"/>
    <w:rsid w:val="003B369F"/>
    <w:rsid w:val="003B36A3"/>
    <w:rsid w:val="003B64BB"/>
    <w:rsid w:val="003B7FE5"/>
    <w:rsid w:val="003C11C8"/>
    <w:rsid w:val="003C2702"/>
    <w:rsid w:val="003C7806"/>
    <w:rsid w:val="003D109F"/>
    <w:rsid w:val="003D2478"/>
    <w:rsid w:val="003D3C45"/>
    <w:rsid w:val="003D5B1F"/>
    <w:rsid w:val="003E15FA"/>
    <w:rsid w:val="003E465D"/>
    <w:rsid w:val="003E555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45"/>
    <w:rsid w:val="004431DC"/>
    <w:rsid w:val="00444F56"/>
    <w:rsid w:val="00446488"/>
    <w:rsid w:val="004517AA"/>
    <w:rsid w:val="00452CAC"/>
    <w:rsid w:val="00457356"/>
    <w:rsid w:val="00457565"/>
    <w:rsid w:val="00457B71"/>
    <w:rsid w:val="00461DDF"/>
    <w:rsid w:val="00464FF9"/>
    <w:rsid w:val="004669E2"/>
    <w:rsid w:val="00470C31"/>
    <w:rsid w:val="00471DE0"/>
    <w:rsid w:val="004734D0"/>
    <w:rsid w:val="0047556B"/>
    <w:rsid w:val="00477768"/>
    <w:rsid w:val="00484FFE"/>
    <w:rsid w:val="00486F1D"/>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3251"/>
    <w:rsid w:val="00506557"/>
    <w:rsid w:val="0050677A"/>
    <w:rsid w:val="005108D8"/>
    <w:rsid w:val="00511383"/>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B7EBB"/>
    <w:rsid w:val="005C74FB"/>
    <w:rsid w:val="005D1602"/>
    <w:rsid w:val="005D1B8A"/>
    <w:rsid w:val="005E385F"/>
    <w:rsid w:val="005E5B81"/>
    <w:rsid w:val="005F2CB1"/>
    <w:rsid w:val="005F3025"/>
    <w:rsid w:val="005F618C"/>
    <w:rsid w:val="005F70BD"/>
    <w:rsid w:val="0060283C"/>
    <w:rsid w:val="00604F14"/>
    <w:rsid w:val="006050EC"/>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354D"/>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1C99"/>
    <w:rsid w:val="006E28B7"/>
    <w:rsid w:val="006E2A9B"/>
    <w:rsid w:val="006E3310"/>
    <w:rsid w:val="006E4E39"/>
    <w:rsid w:val="006E565E"/>
    <w:rsid w:val="006E673D"/>
    <w:rsid w:val="006E7D3B"/>
    <w:rsid w:val="006F1B70"/>
    <w:rsid w:val="006F341D"/>
    <w:rsid w:val="006F3CDE"/>
    <w:rsid w:val="006F58D4"/>
    <w:rsid w:val="006F6582"/>
    <w:rsid w:val="0070346E"/>
    <w:rsid w:val="00704CCB"/>
    <w:rsid w:val="00704EDB"/>
    <w:rsid w:val="00705F08"/>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1CFC"/>
    <w:rsid w:val="0075358B"/>
    <w:rsid w:val="007556FA"/>
    <w:rsid w:val="007571E1"/>
    <w:rsid w:val="007604B2"/>
    <w:rsid w:val="00765281"/>
    <w:rsid w:val="00766BAD"/>
    <w:rsid w:val="007729A2"/>
    <w:rsid w:val="007755F2"/>
    <w:rsid w:val="00775BDD"/>
    <w:rsid w:val="00776971"/>
    <w:rsid w:val="00780A80"/>
    <w:rsid w:val="0078177E"/>
    <w:rsid w:val="0078304C"/>
    <w:rsid w:val="00783673"/>
    <w:rsid w:val="00785490"/>
    <w:rsid w:val="00791B2D"/>
    <w:rsid w:val="007925EA"/>
    <w:rsid w:val="00793CD8"/>
    <w:rsid w:val="00795C92"/>
    <w:rsid w:val="00796231"/>
    <w:rsid w:val="007A1CB3"/>
    <w:rsid w:val="007A306F"/>
    <w:rsid w:val="007A43A6"/>
    <w:rsid w:val="007A58A6"/>
    <w:rsid w:val="007B2CF3"/>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80B"/>
    <w:rsid w:val="007E7091"/>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2452"/>
    <w:rsid w:val="00891ACE"/>
    <w:rsid w:val="008941E3"/>
    <w:rsid w:val="00894A88"/>
    <w:rsid w:val="00895386"/>
    <w:rsid w:val="008A21FF"/>
    <w:rsid w:val="008A2CE2"/>
    <w:rsid w:val="008A30AC"/>
    <w:rsid w:val="008A44B8"/>
    <w:rsid w:val="008A51A8"/>
    <w:rsid w:val="008A54C7"/>
    <w:rsid w:val="008A77D8"/>
    <w:rsid w:val="008B0483"/>
    <w:rsid w:val="008B120C"/>
    <w:rsid w:val="008B51A0"/>
    <w:rsid w:val="008B539A"/>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062"/>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6FA1"/>
    <w:rsid w:val="009D4FF0"/>
    <w:rsid w:val="009D703C"/>
    <w:rsid w:val="009D718F"/>
    <w:rsid w:val="009E068F"/>
    <w:rsid w:val="009E14E0"/>
    <w:rsid w:val="009E35DB"/>
    <w:rsid w:val="009E3F8E"/>
    <w:rsid w:val="009E47A3"/>
    <w:rsid w:val="009F08F3"/>
    <w:rsid w:val="009F344F"/>
    <w:rsid w:val="00A025C8"/>
    <w:rsid w:val="00A031D8"/>
    <w:rsid w:val="00A048A8"/>
    <w:rsid w:val="00A04F49"/>
    <w:rsid w:val="00A13E54"/>
    <w:rsid w:val="00A15A0B"/>
    <w:rsid w:val="00A17F63"/>
    <w:rsid w:val="00A2193B"/>
    <w:rsid w:val="00A2351A"/>
    <w:rsid w:val="00A264A9"/>
    <w:rsid w:val="00A26DCF"/>
    <w:rsid w:val="00A27785"/>
    <w:rsid w:val="00A30187"/>
    <w:rsid w:val="00A3439B"/>
    <w:rsid w:val="00A3448A"/>
    <w:rsid w:val="00A36297"/>
    <w:rsid w:val="00A41E2B"/>
    <w:rsid w:val="00A44248"/>
    <w:rsid w:val="00A45B74"/>
    <w:rsid w:val="00A52E1D"/>
    <w:rsid w:val="00A61499"/>
    <w:rsid w:val="00A62A77"/>
    <w:rsid w:val="00A63483"/>
    <w:rsid w:val="00A657D7"/>
    <w:rsid w:val="00A660AC"/>
    <w:rsid w:val="00A67E6C"/>
    <w:rsid w:val="00A71B99"/>
    <w:rsid w:val="00A739D0"/>
    <w:rsid w:val="00A761D4"/>
    <w:rsid w:val="00A77EC4"/>
    <w:rsid w:val="00A82784"/>
    <w:rsid w:val="00A87E59"/>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4713"/>
    <w:rsid w:val="00B2763F"/>
    <w:rsid w:val="00B27AAC"/>
    <w:rsid w:val="00B30929"/>
    <w:rsid w:val="00B311D6"/>
    <w:rsid w:val="00B372AA"/>
    <w:rsid w:val="00B40445"/>
    <w:rsid w:val="00B409E0"/>
    <w:rsid w:val="00B41888"/>
    <w:rsid w:val="00B45A52"/>
    <w:rsid w:val="00B46175"/>
    <w:rsid w:val="00B548B7"/>
    <w:rsid w:val="00B664C7"/>
    <w:rsid w:val="00B739F6"/>
    <w:rsid w:val="00B750FD"/>
    <w:rsid w:val="00B80ED3"/>
    <w:rsid w:val="00B81A6C"/>
    <w:rsid w:val="00B85DE5"/>
    <w:rsid w:val="00B90F73"/>
    <w:rsid w:val="00B93B59"/>
    <w:rsid w:val="00B9406A"/>
    <w:rsid w:val="00BA2280"/>
    <w:rsid w:val="00BA2A08"/>
    <w:rsid w:val="00BA56D2"/>
    <w:rsid w:val="00BA76E0"/>
    <w:rsid w:val="00BB10A7"/>
    <w:rsid w:val="00BB2A25"/>
    <w:rsid w:val="00BB51E9"/>
    <w:rsid w:val="00BC0FDC"/>
    <w:rsid w:val="00BC3053"/>
    <w:rsid w:val="00BC4D2E"/>
    <w:rsid w:val="00BD48AC"/>
    <w:rsid w:val="00BD5F1A"/>
    <w:rsid w:val="00BD6B04"/>
    <w:rsid w:val="00BE1234"/>
    <w:rsid w:val="00BE2FA6"/>
    <w:rsid w:val="00BE333F"/>
    <w:rsid w:val="00BE37E7"/>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3200"/>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4126"/>
    <w:rsid w:val="00C9027A"/>
    <w:rsid w:val="00C9068E"/>
    <w:rsid w:val="00C93814"/>
    <w:rsid w:val="00C93C4B"/>
    <w:rsid w:val="00C944AB"/>
    <w:rsid w:val="00C94D11"/>
    <w:rsid w:val="00C95B40"/>
    <w:rsid w:val="00CA1ED8"/>
    <w:rsid w:val="00CA5C7D"/>
    <w:rsid w:val="00CB1F63"/>
    <w:rsid w:val="00CB7170"/>
    <w:rsid w:val="00CC040E"/>
    <w:rsid w:val="00CC111F"/>
    <w:rsid w:val="00CC2011"/>
    <w:rsid w:val="00CC3EA0"/>
    <w:rsid w:val="00CC6348"/>
    <w:rsid w:val="00CC63AF"/>
    <w:rsid w:val="00CC7B45"/>
    <w:rsid w:val="00CD1188"/>
    <w:rsid w:val="00CD2ED1"/>
    <w:rsid w:val="00CD337B"/>
    <w:rsid w:val="00CE0424"/>
    <w:rsid w:val="00CE0BF7"/>
    <w:rsid w:val="00CE6E0D"/>
    <w:rsid w:val="00CE735E"/>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6589"/>
    <w:rsid w:val="00D576CA"/>
    <w:rsid w:val="00D61AF5"/>
    <w:rsid w:val="00D652B5"/>
    <w:rsid w:val="00D66155"/>
    <w:rsid w:val="00D708B0"/>
    <w:rsid w:val="00D77B1D"/>
    <w:rsid w:val="00D8021F"/>
    <w:rsid w:val="00D80383"/>
    <w:rsid w:val="00D81EAF"/>
    <w:rsid w:val="00D823C6"/>
    <w:rsid w:val="00D8327F"/>
    <w:rsid w:val="00D85F43"/>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71BE"/>
    <w:rsid w:val="00DF0B6E"/>
    <w:rsid w:val="00DF15E0"/>
    <w:rsid w:val="00DF37A0"/>
    <w:rsid w:val="00E03EB6"/>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17B8"/>
    <w:rsid w:val="00E53B75"/>
    <w:rsid w:val="00E54E3B"/>
    <w:rsid w:val="00E57565"/>
    <w:rsid w:val="00E63838"/>
    <w:rsid w:val="00E64434"/>
    <w:rsid w:val="00E67C51"/>
    <w:rsid w:val="00E72EFC"/>
    <w:rsid w:val="00E758EC"/>
    <w:rsid w:val="00E81FA0"/>
    <w:rsid w:val="00E8234C"/>
    <w:rsid w:val="00E83AA9"/>
    <w:rsid w:val="00E85928"/>
    <w:rsid w:val="00E87822"/>
    <w:rsid w:val="00E90395"/>
    <w:rsid w:val="00E90E49"/>
    <w:rsid w:val="00E917F9"/>
    <w:rsid w:val="00E9291C"/>
    <w:rsid w:val="00E93FFE"/>
    <w:rsid w:val="00E94F8A"/>
    <w:rsid w:val="00EA200B"/>
    <w:rsid w:val="00EA7A41"/>
    <w:rsid w:val="00EB077B"/>
    <w:rsid w:val="00EB4EA2"/>
    <w:rsid w:val="00EC24D5"/>
    <w:rsid w:val="00EC27C6"/>
    <w:rsid w:val="00EC4207"/>
    <w:rsid w:val="00EC5653"/>
    <w:rsid w:val="00EC5D2F"/>
    <w:rsid w:val="00EC71CE"/>
    <w:rsid w:val="00ED1006"/>
    <w:rsid w:val="00EF18FE"/>
    <w:rsid w:val="00EF5787"/>
    <w:rsid w:val="00EF60D0"/>
    <w:rsid w:val="00EF6E45"/>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7E3E"/>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75C"/>
    <w:rsid w:val="00FB48F0"/>
    <w:rsid w:val="00FB4C80"/>
    <w:rsid w:val="00FB6A6A"/>
    <w:rsid w:val="00FC7072"/>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 w:type="paragraph" w:customStyle="1" w:styleId="bullet1">
    <w:name w:val="bullet1"/>
    <w:basedOn w:val="Normal"/>
    <w:link w:val="bullet1Char"/>
    <w:qFormat/>
    <w:rsid w:val="00464FF9"/>
    <w:pPr>
      <w:numPr>
        <w:numId w:val="35"/>
      </w:numPr>
      <w:overflowPunct/>
      <w:autoSpaceDE/>
      <w:autoSpaceDN/>
      <w:adjustRightInd/>
      <w:spacing w:after="0"/>
      <w:textAlignment w:val="auto"/>
    </w:pPr>
    <w:rPr>
      <w:rFonts w:ascii="Times" w:eastAsia="Batang" w:hAnsi="Times"/>
      <w:szCs w:val="24"/>
      <w:lang w:eastAsia="en-US"/>
    </w:rPr>
  </w:style>
  <w:style w:type="paragraph" w:customStyle="1" w:styleId="bullet2">
    <w:name w:val="bullet2"/>
    <w:basedOn w:val="Normal"/>
    <w:link w:val="bullet2Char"/>
    <w:qFormat/>
    <w:rsid w:val="00464FF9"/>
    <w:pPr>
      <w:numPr>
        <w:ilvl w:val="1"/>
        <w:numId w:val="35"/>
      </w:numPr>
      <w:overflowPunct/>
      <w:autoSpaceDE/>
      <w:autoSpaceDN/>
      <w:adjustRightInd/>
      <w:spacing w:after="0"/>
      <w:textAlignment w:val="auto"/>
    </w:pPr>
    <w:rPr>
      <w:rFonts w:ascii="Times" w:eastAsia="Batang" w:hAnsi="Times"/>
      <w:szCs w:val="24"/>
      <w:lang w:eastAsia="en-US"/>
    </w:rPr>
  </w:style>
  <w:style w:type="character" w:customStyle="1" w:styleId="bullet1Char">
    <w:name w:val="bullet1 Char"/>
    <w:link w:val="bullet1"/>
    <w:rsid w:val="00464FF9"/>
    <w:rPr>
      <w:rFonts w:ascii="Times" w:eastAsia="Batang" w:hAnsi="Times"/>
      <w:szCs w:val="24"/>
      <w:lang w:eastAsia="en-US"/>
    </w:rPr>
  </w:style>
  <w:style w:type="paragraph" w:customStyle="1" w:styleId="bullet3">
    <w:name w:val="bullet3"/>
    <w:basedOn w:val="Normal"/>
    <w:qFormat/>
    <w:rsid w:val="00464FF9"/>
    <w:pPr>
      <w:numPr>
        <w:ilvl w:val="2"/>
        <w:numId w:val="35"/>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Normal"/>
    <w:qFormat/>
    <w:rsid w:val="00464FF9"/>
    <w:pPr>
      <w:numPr>
        <w:ilvl w:val="3"/>
        <w:numId w:val="35"/>
      </w:numPr>
      <w:overflowPunct/>
      <w:autoSpaceDE/>
      <w:autoSpaceDN/>
      <w:adjustRightInd/>
      <w:spacing w:after="0"/>
      <w:textAlignment w:val="auto"/>
    </w:pPr>
    <w:rPr>
      <w:rFonts w:ascii="Times" w:eastAsia="Batang" w:hAnsi="Times"/>
      <w:szCs w:val="24"/>
      <w:lang w:eastAsia="en-US"/>
    </w:rPr>
  </w:style>
  <w:style w:type="character" w:customStyle="1" w:styleId="bullet2Char">
    <w:name w:val="bullet2 Char"/>
    <w:link w:val="bullet2"/>
    <w:rsid w:val="00464FF9"/>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953</Words>
  <Characters>7721</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2019-05-03T18:25:00Z</dcterms:created>
  <dcterms:modified xsi:type="dcterms:W3CDTF">2019-05-03T18:25:00Z</dcterms:modified>
  <cp:category/>
</cp:coreProperties>
</file>